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63ADC" w14:textId="394D224F" w:rsidR="00A3564F" w:rsidRDefault="00A3564F" w:rsidP="00A3564F">
      <w:pPr>
        <w:tabs>
          <w:tab w:val="center" w:pos="4536"/>
          <w:tab w:val="right" w:pos="7938"/>
          <w:tab w:val="right" w:pos="9639"/>
        </w:tabs>
        <w:ind w:right="2"/>
        <w:rPr>
          <w:rFonts w:eastAsia="Batang" w:cs="Arial"/>
          <w:b/>
          <w:bCs/>
          <w:sz w:val="28"/>
          <w:szCs w:val="24"/>
          <w:lang w:val="en-GB"/>
        </w:rPr>
      </w:pPr>
      <w:r>
        <w:rPr>
          <w:rFonts w:cs="Arial"/>
          <w:b/>
          <w:bCs/>
          <w:sz w:val="28"/>
        </w:rPr>
        <w:t>3GPP TSG RAN WG1 #111</w:t>
      </w:r>
      <w:r>
        <w:rPr>
          <w:rFonts w:cs="Arial"/>
          <w:b/>
          <w:bCs/>
          <w:sz w:val="28"/>
        </w:rPr>
        <w:tab/>
      </w:r>
      <w:r>
        <w:rPr>
          <w:rFonts w:cs="Arial"/>
          <w:b/>
          <w:bCs/>
          <w:sz w:val="28"/>
        </w:rPr>
        <w:tab/>
      </w:r>
      <w:r>
        <w:rPr>
          <w:rFonts w:cs="Arial"/>
          <w:b/>
          <w:bCs/>
          <w:sz w:val="28"/>
        </w:rPr>
        <w:tab/>
      </w:r>
      <w:r w:rsidRPr="00350331">
        <w:rPr>
          <w:rFonts w:cs="Arial"/>
          <w:b/>
          <w:sz w:val="28"/>
        </w:rPr>
        <w:t>R1-</w:t>
      </w:r>
      <w:r w:rsidR="00350331" w:rsidRPr="00350331">
        <w:rPr>
          <w:rFonts w:cs="Arial"/>
          <w:b/>
          <w:bCs/>
          <w:sz w:val="28"/>
        </w:rPr>
        <w:t>2212221</w:t>
      </w:r>
    </w:p>
    <w:p w14:paraId="028CDC0C" w14:textId="77777777" w:rsidR="00A3564F" w:rsidRDefault="00A3564F" w:rsidP="00A3564F">
      <w:pPr>
        <w:tabs>
          <w:tab w:val="center" w:pos="4536"/>
          <w:tab w:val="right" w:pos="9072"/>
        </w:tabs>
        <w:rPr>
          <w:rFonts w:eastAsia="MS Mincho" w:cs="Arial"/>
          <w:b/>
          <w:bCs/>
          <w:sz w:val="28"/>
          <w:lang w:eastAsia="ja-JP"/>
        </w:rPr>
      </w:pPr>
      <w:r>
        <w:rPr>
          <w:rFonts w:eastAsia="MS Mincho" w:cs="Arial"/>
          <w:b/>
          <w:bCs/>
          <w:sz w:val="28"/>
          <w:lang w:eastAsia="ja-JP"/>
        </w:rPr>
        <w:t>Toulouse, France, November 14</w:t>
      </w:r>
      <w:r>
        <w:rPr>
          <w:rFonts w:eastAsia="MS Mincho" w:cs="Arial"/>
          <w:b/>
          <w:bCs/>
          <w:sz w:val="28"/>
          <w:vertAlign w:val="superscript"/>
          <w:lang w:eastAsia="ja-JP"/>
        </w:rPr>
        <w:t>th</w:t>
      </w:r>
      <w:r>
        <w:rPr>
          <w:rFonts w:eastAsia="MS Mincho" w:cs="Arial"/>
          <w:b/>
          <w:bCs/>
          <w:sz w:val="28"/>
          <w:lang w:eastAsia="ja-JP"/>
        </w:rPr>
        <w:t xml:space="preserve"> – 18</w:t>
      </w:r>
      <w:r>
        <w:rPr>
          <w:rFonts w:eastAsia="MS Mincho" w:cs="Arial"/>
          <w:b/>
          <w:bCs/>
          <w:sz w:val="28"/>
          <w:vertAlign w:val="superscript"/>
          <w:lang w:eastAsia="ja-JP"/>
        </w:rPr>
        <w:t>th</w:t>
      </w:r>
      <w:r>
        <w:rPr>
          <w:rFonts w:eastAsia="MS Mincho" w:cs="Arial"/>
          <w:b/>
          <w:bCs/>
          <w:sz w:val="28"/>
          <w:lang w:eastAsia="ja-JP"/>
        </w:rPr>
        <w:t>, 2022</w:t>
      </w:r>
    </w:p>
    <w:p w14:paraId="3086AC07" w14:textId="77777777" w:rsidR="00E90E49" w:rsidRPr="00CE0424" w:rsidRDefault="00E90E49" w:rsidP="00357380">
      <w:pPr>
        <w:pStyle w:val="3GPPHeader"/>
      </w:pPr>
    </w:p>
    <w:p w14:paraId="3982483C" w14:textId="73A5C69C" w:rsidR="00E90E49" w:rsidRPr="0036717A" w:rsidRDefault="00E90E49" w:rsidP="00311702">
      <w:pPr>
        <w:pStyle w:val="3GPPHeader"/>
        <w:rPr>
          <w:sz w:val="22"/>
        </w:rPr>
      </w:pPr>
      <w:r w:rsidRPr="0036717A">
        <w:rPr>
          <w:sz w:val="22"/>
        </w:rPr>
        <w:t>Agenda Item:</w:t>
      </w:r>
      <w:r w:rsidRPr="0036717A">
        <w:rPr>
          <w:sz w:val="22"/>
        </w:rPr>
        <w:tab/>
      </w:r>
      <w:r w:rsidR="00EC4BD9" w:rsidRPr="00881335">
        <w:rPr>
          <w:sz w:val="22"/>
        </w:rPr>
        <w:t>9.4.2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4364943C" w14:textId="04978CBB" w:rsidR="00881335" w:rsidRDefault="003D3C45" w:rsidP="00D546FF">
      <w:pPr>
        <w:pStyle w:val="3GPPHeader"/>
        <w:rPr>
          <w:sz w:val="22"/>
        </w:rPr>
      </w:pPr>
      <w:r>
        <w:rPr>
          <w:sz w:val="22"/>
        </w:rPr>
        <w:t>Title:</w:t>
      </w:r>
      <w:r w:rsidR="00E90E49" w:rsidRPr="00CE0424">
        <w:rPr>
          <w:sz w:val="22"/>
        </w:rPr>
        <w:tab/>
      </w:r>
      <w:r w:rsidR="00881335">
        <w:rPr>
          <w:sz w:val="22"/>
        </w:rPr>
        <w:t>C</w:t>
      </w:r>
      <w:r w:rsidR="00881335" w:rsidRPr="00881335">
        <w:rPr>
          <w:sz w:val="22"/>
        </w:rPr>
        <w:t xml:space="preserve">o-channel coexistence between LTE </w:t>
      </w:r>
      <w:proofErr w:type="spellStart"/>
      <w:r w:rsidR="00881335" w:rsidRPr="00881335">
        <w:rPr>
          <w:sz w:val="22"/>
        </w:rPr>
        <w:t>sidelink</w:t>
      </w:r>
      <w:proofErr w:type="spellEnd"/>
      <w:r w:rsidR="00881335" w:rsidRPr="00881335">
        <w:rPr>
          <w:sz w:val="22"/>
        </w:rPr>
        <w:t xml:space="preserve"> and NR </w:t>
      </w:r>
      <w:proofErr w:type="spellStart"/>
      <w:r w:rsidR="00881335" w:rsidRPr="00881335">
        <w:rPr>
          <w:sz w:val="22"/>
        </w:rPr>
        <w:t>sidelink</w:t>
      </w:r>
      <w:proofErr w:type="spellEnd"/>
    </w:p>
    <w:p w14:paraId="2D5672ED" w14:textId="5AF2FCD3" w:rsidR="00E90E49" w:rsidRPr="00A97C7B" w:rsidRDefault="00E90E49" w:rsidP="00A97C7B">
      <w:pPr>
        <w:pStyle w:val="3GPPHeader"/>
        <w:rPr>
          <w:sz w:val="22"/>
        </w:rPr>
      </w:pPr>
      <w:r w:rsidRPr="00CE0424">
        <w:rPr>
          <w:sz w:val="22"/>
        </w:rPr>
        <w:t>Document for:</w:t>
      </w:r>
      <w:r w:rsidRPr="00CE0424">
        <w:rPr>
          <w:sz w:val="22"/>
        </w:rPr>
        <w:tab/>
      </w:r>
      <w:r w:rsidRPr="00EC4BD9">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231E64EA" w14:textId="4F0963CA" w:rsidR="00477768" w:rsidRDefault="00DE0800" w:rsidP="00CE0424">
      <w:pPr>
        <w:pStyle w:val="BodyText"/>
      </w:pPr>
      <w:r>
        <w:t>In 3GPP RAN1#</w:t>
      </w:r>
      <w:r w:rsidR="00350331">
        <w:t>11</w:t>
      </w:r>
      <w:r w:rsidR="00064E7C">
        <w:t>0bis</w:t>
      </w:r>
      <w:r w:rsidR="00350331">
        <w:t xml:space="preserve"> </w:t>
      </w:r>
      <w:r>
        <w:t>meeting, the following agreements were achieved.</w:t>
      </w:r>
    </w:p>
    <w:tbl>
      <w:tblPr>
        <w:tblStyle w:val="TableGrid"/>
        <w:tblW w:w="0" w:type="auto"/>
        <w:tblLook w:val="04A0" w:firstRow="1" w:lastRow="0" w:firstColumn="1" w:lastColumn="0" w:noHBand="0" w:noVBand="1"/>
      </w:tblPr>
      <w:tblGrid>
        <w:gridCol w:w="9629"/>
      </w:tblGrid>
      <w:tr w:rsidR="00990103" w14:paraId="05208964" w14:textId="77777777" w:rsidTr="00990103">
        <w:tc>
          <w:tcPr>
            <w:tcW w:w="9629" w:type="dxa"/>
          </w:tcPr>
          <w:p w14:paraId="2A129569" w14:textId="77777777" w:rsidR="00B46769" w:rsidRPr="00B46769" w:rsidRDefault="00B46769" w:rsidP="00B46769">
            <w:pPr>
              <w:autoSpaceDE w:val="0"/>
              <w:autoSpaceDN w:val="0"/>
              <w:spacing w:after="0" w:line="240" w:lineRule="auto"/>
              <w:jc w:val="both"/>
              <w:rPr>
                <w:rFonts w:ascii="Times New Roman" w:eastAsia="SimSun" w:hAnsi="Times New Roman" w:cs="Times New Roman"/>
                <w:szCs w:val="20"/>
                <w:lang w:eastAsia="zh-CN"/>
              </w:rPr>
            </w:pPr>
            <w:r w:rsidRPr="00B46769">
              <w:rPr>
                <w:rFonts w:ascii="Times New Roman" w:eastAsia="SimSun" w:hAnsi="Times New Roman" w:cs="Times New Roman"/>
                <w:b/>
                <w:bCs/>
                <w:iCs/>
                <w:szCs w:val="20"/>
                <w:highlight w:val="green"/>
                <w:lang w:eastAsia="zh-CN"/>
              </w:rPr>
              <w:t>Agreement</w:t>
            </w:r>
          </w:p>
          <w:p w14:paraId="25FAB8A3" w14:textId="77777777" w:rsidR="00B46769" w:rsidRPr="00B46769" w:rsidRDefault="00B46769" w:rsidP="00B46769">
            <w:pPr>
              <w:spacing w:after="0"/>
              <w:jc w:val="both"/>
              <w:rPr>
                <w:rFonts w:ascii="Times New Roman" w:eastAsia="MS Mincho" w:hAnsi="Times New Roman" w:cs="Times New Roman"/>
                <w:szCs w:val="20"/>
                <w:lang w:val="en-GB" w:eastAsia="x-none"/>
              </w:rPr>
            </w:pPr>
            <w:r w:rsidRPr="00B46769">
              <w:rPr>
                <w:rFonts w:ascii="Times New Roman" w:eastAsia="MS Mincho" w:hAnsi="Times New Roman" w:cs="Times New Roman"/>
                <w:szCs w:val="20"/>
                <w:lang w:val="en-GB" w:eastAsia="x-none"/>
              </w:rPr>
              <w:t xml:space="preserve">For dynamic resource pool sharing, the candidate information shared by the LTE SL module to the NR SL module may include one or more of the following parameters, to be </w:t>
            </w:r>
            <w:proofErr w:type="gramStart"/>
            <w:r w:rsidRPr="00B46769">
              <w:rPr>
                <w:rFonts w:ascii="Times New Roman" w:eastAsia="MS Mincho" w:hAnsi="Times New Roman" w:cs="Times New Roman"/>
                <w:szCs w:val="20"/>
                <w:lang w:val="en-GB" w:eastAsia="x-none"/>
              </w:rPr>
              <w:t>down-selected</w:t>
            </w:r>
            <w:proofErr w:type="gramEnd"/>
            <w:r w:rsidRPr="00B46769">
              <w:rPr>
                <w:rFonts w:ascii="Times New Roman" w:eastAsia="MS Mincho" w:hAnsi="Times New Roman" w:cs="Times New Roman"/>
                <w:szCs w:val="20"/>
                <w:lang w:val="en-GB" w:eastAsia="x-none"/>
              </w:rPr>
              <w:t>:</w:t>
            </w:r>
          </w:p>
          <w:p w14:paraId="1E8A0761" w14:textId="77777777" w:rsidR="00B46769" w:rsidRPr="00B46769" w:rsidRDefault="00B46769" w:rsidP="00A45730">
            <w:pPr>
              <w:numPr>
                <w:ilvl w:val="0"/>
                <w:numId w:val="33"/>
              </w:numPr>
              <w:autoSpaceDE w:val="0"/>
              <w:autoSpaceDN w:val="0"/>
              <w:spacing w:after="0" w:line="240" w:lineRule="auto"/>
              <w:jc w:val="both"/>
              <w:rPr>
                <w:rFonts w:ascii="Times New Roman" w:eastAsia="MS Mincho" w:hAnsi="Times New Roman" w:cs="Times New Roman"/>
                <w:szCs w:val="20"/>
                <w:lang w:val="en-GB" w:eastAsia="x-none"/>
              </w:rPr>
            </w:pPr>
            <w:r w:rsidRPr="00B46769">
              <w:rPr>
                <w:rFonts w:ascii="Times New Roman" w:eastAsia="MS Mincho" w:hAnsi="Times New Roman" w:cs="Times New Roman"/>
                <w:szCs w:val="20"/>
                <w:lang w:val="en-GB" w:eastAsia="x-none"/>
              </w:rPr>
              <w:t>Time and frequency locations of reserved resources by other LTE UEs, determined based on decoded SCIs</w:t>
            </w:r>
          </w:p>
          <w:p w14:paraId="3049D6A0" w14:textId="77777777" w:rsidR="00B46769" w:rsidRPr="00B46769" w:rsidRDefault="00B46769" w:rsidP="00A45730">
            <w:pPr>
              <w:numPr>
                <w:ilvl w:val="0"/>
                <w:numId w:val="33"/>
              </w:numPr>
              <w:autoSpaceDE w:val="0"/>
              <w:autoSpaceDN w:val="0"/>
              <w:spacing w:after="0" w:line="240" w:lineRule="auto"/>
              <w:jc w:val="both"/>
              <w:rPr>
                <w:rFonts w:ascii="Times New Roman" w:eastAsia="MS Mincho" w:hAnsi="Times New Roman" w:cs="Times New Roman"/>
                <w:szCs w:val="20"/>
                <w:lang w:val="en-GB" w:eastAsia="x-none"/>
              </w:rPr>
            </w:pPr>
            <w:r w:rsidRPr="00B46769">
              <w:rPr>
                <w:rFonts w:ascii="Times New Roman" w:eastAsia="MS Mincho" w:hAnsi="Times New Roman" w:cs="Times New Roman"/>
                <w:szCs w:val="20"/>
                <w:lang w:val="en-GB" w:eastAsia="x-none"/>
              </w:rPr>
              <w:t>SL RSRP measurement results</w:t>
            </w:r>
          </w:p>
          <w:p w14:paraId="1BBB8F6B" w14:textId="77777777" w:rsidR="00B46769" w:rsidRPr="00B46769" w:rsidRDefault="00B46769" w:rsidP="00A45730">
            <w:pPr>
              <w:numPr>
                <w:ilvl w:val="0"/>
                <w:numId w:val="33"/>
              </w:numPr>
              <w:autoSpaceDE w:val="0"/>
              <w:autoSpaceDN w:val="0"/>
              <w:spacing w:after="0" w:line="240" w:lineRule="auto"/>
              <w:jc w:val="both"/>
              <w:rPr>
                <w:rFonts w:ascii="Times New Roman" w:eastAsia="MS Mincho" w:hAnsi="Times New Roman" w:cs="Times New Roman"/>
                <w:szCs w:val="20"/>
                <w:lang w:val="en-GB" w:eastAsia="x-none"/>
              </w:rPr>
            </w:pPr>
            <w:r w:rsidRPr="00B46769">
              <w:rPr>
                <w:rFonts w:ascii="Times New Roman" w:eastAsia="MS Mincho" w:hAnsi="Times New Roman" w:cs="Times New Roman"/>
                <w:szCs w:val="20"/>
                <w:lang w:val="en-GB" w:eastAsia="x-none"/>
              </w:rPr>
              <w:t>Resource reservation periods based on decoded SCI and for own LTE SL transmissions</w:t>
            </w:r>
          </w:p>
          <w:p w14:paraId="0579C6CE" w14:textId="77777777" w:rsidR="00B46769" w:rsidRPr="00B46769" w:rsidRDefault="00B46769" w:rsidP="00A45730">
            <w:pPr>
              <w:numPr>
                <w:ilvl w:val="0"/>
                <w:numId w:val="33"/>
              </w:numPr>
              <w:autoSpaceDE w:val="0"/>
              <w:autoSpaceDN w:val="0"/>
              <w:spacing w:after="0" w:line="240" w:lineRule="auto"/>
              <w:jc w:val="both"/>
              <w:rPr>
                <w:rFonts w:ascii="Times New Roman" w:eastAsia="MS Mincho" w:hAnsi="Times New Roman" w:cs="Times New Roman"/>
                <w:szCs w:val="20"/>
                <w:lang w:val="en-GB" w:eastAsia="x-none"/>
              </w:rPr>
            </w:pPr>
            <w:r w:rsidRPr="00B46769">
              <w:rPr>
                <w:rFonts w:ascii="Times New Roman" w:eastAsia="MS Mincho" w:hAnsi="Times New Roman" w:cs="Times New Roman"/>
                <w:szCs w:val="20"/>
                <w:lang w:val="en-GB" w:eastAsia="x-none"/>
              </w:rPr>
              <w:t>Priority based on decoded SCI and for own LTE SL transmissions</w:t>
            </w:r>
          </w:p>
          <w:p w14:paraId="2BCC7287" w14:textId="77777777" w:rsidR="00B46769" w:rsidRPr="00B46769" w:rsidRDefault="00B46769" w:rsidP="00A45730">
            <w:pPr>
              <w:numPr>
                <w:ilvl w:val="0"/>
                <w:numId w:val="33"/>
              </w:numPr>
              <w:autoSpaceDE w:val="0"/>
              <w:autoSpaceDN w:val="0"/>
              <w:spacing w:after="0" w:line="240" w:lineRule="auto"/>
              <w:jc w:val="both"/>
              <w:rPr>
                <w:rFonts w:ascii="Times New Roman" w:eastAsia="MS Mincho" w:hAnsi="Times New Roman" w:cs="Times New Roman"/>
                <w:szCs w:val="20"/>
                <w:lang w:val="en-GB" w:eastAsia="x-none"/>
              </w:rPr>
            </w:pPr>
            <w:r w:rsidRPr="00B46769">
              <w:rPr>
                <w:rFonts w:ascii="Times New Roman" w:eastAsia="MS Mincho" w:hAnsi="Times New Roman" w:cs="Times New Roman"/>
                <w:szCs w:val="20"/>
                <w:lang w:val="en-GB" w:eastAsia="x-none"/>
              </w:rPr>
              <w:t>Time and frequency location of resources used for own LTE SL transmissions</w:t>
            </w:r>
          </w:p>
          <w:p w14:paraId="5D526687" w14:textId="77777777" w:rsidR="00B46769" w:rsidRPr="00B46769" w:rsidRDefault="00B46769" w:rsidP="00A45730">
            <w:pPr>
              <w:numPr>
                <w:ilvl w:val="0"/>
                <w:numId w:val="33"/>
              </w:numPr>
              <w:autoSpaceDE w:val="0"/>
              <w:autoSpaceDN w:val="0"/>
              <w:spacing w:after="0" w:line="240" w:lineRule="auto"/>
              <w:jc w:val="both"/>
              <w:rPr>
                <w:rFonts w:ascii="Times New Roman" w:eastAsia="MS Mincho" w:hAnsi="Times New Roman" w:cs="Times New Roman"/>
                <w:szCs w:val="20"/>
                <w:lang w:val="en-GB" w:eastAsia="x-none"/>
              </w:rPr>
            </w:pPr>
            <w:r w:rsidRPr="00B46769">
              <w:rPr>
                <w:rFonts w:ascii="Times New Roman" w:eastAsia="MS Mincho" w:hAnsi="Times New Roman" w:cs="Times New Roman"/>
                <w:szCs w:val="20"/>
                <w:lang w:val="en-GB" w:eastAsia="x-none"/>
              </w:rPr>
              <w:t>Candidate resource set S</w:t>
            </w:r>
            <w:r w:rsidRPr="00B46769">
              <w:rPr>
                <w:rFonts w:ascii="Times New Roman" w:eastAsia="MS Mincho" w:hAnsi="Times New Roman" w:cs="Times New Roman"/>
                <w:szCs w:val="20"/>
                <w:vertAlign w:val="subscript"/>
                <w:lang w:val="en-GB" w:eastAsia="x-none"/>
              </w:rPr>
              <w:t>A</w:t>
            </w:r>
            <w:r w:rsidRPr="00B46769">
              <w:rPr>
                <w:rFonts w:ascii="Times New Roman" w:eastAsia="MS Mincho" w:hAnsi="Times New Roman" w:cs="Times New Roman"/>
                <w:szCs w:val="20"/>
                <w:lang w:val="en-GB" w:eastAsia="x-none"/>
              </w:rPr>
              <w:t xml:space="preserve"> or S</w:t>
            </w:r>
            <w:r w:rsidRPr="00B46769">
              <w:rPr>
                <w:rFonts w:ascii="Times New Roman" w:eastAsia="MS Mincho" w:hAnsi="Times New Roman" w:cs="Times New Roman"/>
                <w:szCs w:val="20"/>
                <w:vertAlign w:val="subscript"/>
                <w:lang w:val="en-GB" w:eastAsia="x-none"/>
              </w:rPr>
              <w:t>B</w:t>
            </w:r>
          </w:p>
          <w:p w14:paraId="3D343FCE" w14:textId="77777777" w:rsidR="00B46769" w:rsidRPr="00B46769" w:rsidRDefault="00B46769" w:rsidP="00A45730">
            <w:pPr>
              <w:numPr>
                <w:ilvl w:val="0"/>
                <w:numId w:val="33"/>
              </w:numPr>
              <w:autoSpaceDE w:val="0"/>
              <w:autoSpaceDN w:val="0"/>
              <w:spacing w:after="0" w:line="240" w:lineRule="auto"/>
              <w:jc w:val="both"/>
              <w:rPr>
                <w:rFonts w:ascii="Times New Roman" w:eastAsia="MS Mincho" w:hAnsi="Times New Roman" w:cs="Times New Roman"/>
                <w:szCs w:val="20"/>
                <w:lang w:val="en-GB" w:eastAsia="x-none"/>
              </w:rPr>
            </w:pPr>
            <w:r w:rsidRPr="00B46769">
              <w:rPr>
                <w:rFonts w:ascii="Times New Roman" w:eastAsia="MS Mincho" w:hAnsi="Times New Roman" w:cs="Times New Roman"/>
                <w:szCs w:val="20"/>
                <w:lang w:val="en-GB" w:eastAsia="x-none"/>
              </w:rPr>
              <w:t>SL RSSI measurements</w:t>
            </w:r>
          </w:p>
          <w:p w14:paraId="188097DB" w14:textId="77777777" w:rsidR="00B46769" w:rsidRPr="00B46769" w:rsidRDefault="00B46769" w:rsidP="00A45730">
            <w:pPr>
              <w:numPr>
                <w:ilvl w:val="0"/>
                <w:numId w:val="33"/>
              </w:numPr>
              <w:autoSpaceDE w:val="0"/>
              <w:autoSpaceDN w:val="0"/>
              <w:spacing w:after="0" w:line="240" w:lineRule="auto"/>
              <w:jc w:val="both"/>
              <w:rPr>
                <w:rFonts w:ascii="Times New Roman" w:eastAsia="MS Mincho" w:hAnsi="Times New Roman" w:cs="Times New Roman"/>
                <w:szCs w:val="20"/>
                <w:lang w:val="en-GB" w:eastAsia="x-none"/>
              </w:rPr>
            </w:pPr>
            <w:r w:rsidRPr="00B46769">
              <w:rPr>
                <w:rFonts w:ascii="Times New Roman" w:eastAsia="MS Mincho" w:hAnsi="Times New Roman" w:cs="Times New Roman"/>
                <w:szCs w:val="20"/>
                <w:lang w:val="en-GB" w:eastAsia="x-none"/>
              </w:rPr>
              <w:t>LTE logical subframe related information</w:t>
            </w:r>
          </w:p>
          <w:p w14:paraId="184E741E" w14:textId="77777777" w:rsidR="00B46769" w:rsidRPr="00B46769" w:rsidRDefault="00B46769" w:rsidP="00A45730">
            <w:pPr>
              <w:numPr>
                <w:ilvl w:val="0"/>
                <w:numId w:val="33"/>
              </w:numPr>
              <w:autoSpaceDE w:val="0"/>
              <w:autoSpaceDN w:val="0"/>
              <w:spacing w:after="0" w:line="240" w:lineRule="auto"/>
              <w:jc w:val="both"/>
              <w:rPr>
                <w:rFonts w:ascii="Times New Roman" w:eastAsia="MS Mincho" w:hAnsi="Times New Roman" w:cs="Times New Roman"/>
                <w:szCs w:val="20"/>
                <w:lang w:val="en-GB" w:eastAsia="x-none"/>
              </w:rPr>
            </w:pPr>
            <w:r w:rsidRPr="00B46769">
              <w:rPr>
                <w:rFonts w:ascii="Times New Roman" w:eastAsia="MS Mincho" w:hAnsi="Times New Roman" w:cs="Times New Roman"/>
                <w:szCs w:val="20"/>
                <w:lang w:val="en-GB" w:eastAsia="x-none"/>
              </w:rPr>
              <w:t>Resources corresponding to half-duplex subframes which are not monitored by the LTE SL UE</w:t>
            </w:r>
          </w:p>
          <w:p w14:paraId="14C96849" w14:textId="77777777" w:rsidR="00B46769" w:rsidRPr="00B46769" w:rsidRDefault="00B46769" w:rsidP="00B46769">
            <w:pPr>
              <w:spacing w:after="0" w:line="240" w:lineRule="auto"/>
              <w:rPr>
                <w:rFonts w:ascii="Times New Roman" w:eastAsia="SimSun" w:hAnsi="Times New Roman" w:cs="Times New Roman"/>
                <w:iCs/>
                <w:szCs w:val="20"/>
                <w:lang w:eastAsia="zh-CN"/>
              </w:rPr>
            </w:pPr>
          </w:p>
          <w:p w14:paraId="0DB273A4" w14:textId="77777777" w:rsidR="00B46769" w:rsidRPr="00B46769" w:rsidRDefault="00B46769" w:rsidP="00B46769">
            <w:pPr>
              <w:autoSpaceDE w:val="0"/>
              <w:autoSpaceDN w:val="0"/>
              <w:spacing w:after="0" w:line="240" w:lineRule="auto"/>
              <w:jc w:val="both"/>
              <w:rPr>
                <w:rFonts w:ascii="Times New Roman" w:eastAsia="SimSun" w:hAnsi="Times New Roman" w:cs="Times New Roman"/>
                <w:szCs w:val="20"/>
                <w:lang w:eastAsia="zh-CN"/>
              </w:rPr>
            </w:pPr>
            <w:r w:rsidRPr="00B46769">
              <w:rPr>
                <w:rFonts w:ascii="Times New Roman" w:eastAsia="SimSun" w:hAnsi="Times New Roman" w:cs="Times New Roman"/>
                <w:b/>
                <w:bCs/>
                <w:iCs/>
                <w:szCs w:val="20"/>
                <w:highlight w:val="green"/>
                <w:lang w:eastAsia="zh-CN"/>
              </w:rPr>
              <w:t>Agreement</w:t>
            </w:r>
          </w:p>
          <w:p w14:paraId="120B1A1F" w14:textId="77777777" w:rsidR="00B46769" w:rsidRPr="00B46769" w:rsidRDefault="00B46769" w:rsidP="00B46769">
            <w:pPr>
              <w:spacing w:after="0"/>
              <w:jc w:val="both"/>
              <w:rPr>
                <w:rFonts w:ascii="Times New Roman" w:eastAsia="MS Mincho" w:hAnsi="Times New Roman" w:cs="Times New Roman"/>
                <w:szCs w:val="20"/>
                <w:lang w:val="en-GB" w:eastAsia="x-none"/>
              </w:rPr>
            </w:pPr>
            <w:r w:rsidRPr="00B46769">
              <w:rPr>
                <w:rFonts w:ascii="Times New Roman" w:eastAsia="MS Mincho" w:hAnsi="Times New Roman" w:cs="Times New Roman"/>
                <w:szCs w:val="20"/>
                <w:lang w:val="en-GB" w:eastAsia="x-none"/>
              </w:rPr>
              <w:t>For dynamic resource pool sharing, the NR SL module uses the information shared by the LTE SL module to the NR SL module to determine the set of resources for its own transmission.</w:t>
            </w:r>
          </w:p>
          <w:p w14:paraId="4EF5CBF0" w14:textId="77777777" w:rsidR="00B46769" w:rsidRPr="00F0082B" w:rsidRDefault="00B46769" w:rsidP="00A45730">
            <w:pPr>
              <w:numPr>
                <w:ilvl w:val="0"/>
                <w:numId w:val="33"/>
              </w:numPr>
              <w:autoSpaceDE w:val="0"/>
              <w:autoSpaceDN w:val="0"/>
              <w:spacing w:after="0" w:line="240" w:lineRule="auto"/>
              <w:jc w:val="both"/>
              <w:rPr>
                <w:rFonts w:ascii="Times New Roman" w:eastAsia="MS Mincho" w:hAnsi="Times New Roman" w:cs="Times New Roman"/>
                <w:szCs w:val="20"/>
                <w:lang w:val="en-GB" w:eastAsia="x-none"/>
              </w:rPr>
            </w:pPr>
            <w:r w:rsidRPr="00F0082B">
              <w:rPr>
                <w:rFonts w:ascii="Times New Roman" w:eastAsia="MS Mincho" w:hAnsi="Times New Roman" w:cs="Times New Roman"/>
                <w:szCs w:val="20"/>
                <w:lang w:val="en-GB" w:eastAsia="x-none"/>
              </w:rPr>
              <w:t>FFS: which layer carries out the resource determination: PHY layer or MAC layer.</w:t>
            </w:r>
          </w:p>
          <w:p w14:paraId="469D8443" w14:textId="77777777" w:rsidR="00B46769" w:rsidRPr="00B46769" w:rsidRDefault="00B46769" w:rsidP="00B46769">
            <w:pPr>
              <w:spacing w:after="0" w:line="240" w:lineRule="auto"/>
              <w:rPr>
                <w:rFonts w:ascii="Times New Roman" w:eastAsia="SimSun" w:hAnsi="Times New Roman" w:cs="Times New Roman"/>
                <w:iCs/>
                <w:szCs w:val="20"/>
                <w:lang w:val="x-none" w:eastAsia="zh-CN"/>
              </w:rPr>
            </w:pPr>
          </w:p>
          <w:p w14:paraId="23E7E285" w14:textId="77777777" w:rsidR="00B46769" w:rsidRPr="00B46769" w:rsidRDefault="00B46769" w:rsidP="00B46769">
            <w:pPr>
              <w:autoSpaceDE w:val="0"/>
              <w:autoSpaceDN w:val="0"/>
              <w:spacing w:after="0" w:line="240" w:lineRule="auto"/>
              <w:jc w:val="both"/>
              <w:rPr>
                <w:rFonts w:ascii="Times New Roman" w:eastAsia="SimSun" w:hAnsi="Times New Roman" w:cs="Times New Roman"/>
                <w:szCs w:val="20"/>
                <w:lang w:eastAsia="zh-CN"/>
              </w:rPr>
            </w:pPr>
            <w:r w:rsidRPr="00B46769">
              <w:rPr>
                <w:rFonts w:ascii="Times New Roman" w:eastAsia="SimSun" w:hAnsi="Times New Roman" w:cs="Times New Roman"/>
                <w:b/>
                <w:bCs/>
                <w:iCs/>
                <w:szCs w:val="20"/>
                <w:highlight w:val="green"/>
                <w:lang w:eastAsia="zh-CN"/>
              </w:rPr>
              <w:t>Agreement</w:t>
            </w:r>
          </w:p>
          <w:p w14:paraId="11E9DC8A" w14:textId="77777777" w:rsidR="00B46769" w:rsidRPr="00B46769" w:rsidRDefault="00B46769" w:rsidP="00B46769">
            <w:pPr>
              <w:spacing w:after="0"/>
              <w:jc w:val="both"/>
              <w:rPr>
                <w:rFonts w:ascii="Times New Roman" w:eastAsia="MS Mincho" w:hAnsi="Times New Roman" w:cs="Times New Roman"/>
                <w:szCs w:val="20"/>
                <w:lang w:val="en-GB" w:eastAsia="x-none"/>
              </w:rPr>
            </w:pPr>
            <w:r w:rsidRPr="00B46769">
              <w:rPr>
                <w:rFonts w:ascii="Times New Roman" w:eastAsia="MS Mincho" w:hAnsi="Times New Roman" w:cs="Times New Roman"/>
                <w:szCs w:val="20"/>
                <w:lang w:val="en-GB" w:eastAsia="x-none"/>
              </w:rPr>
              <w:t>For dynamic resource pool sharing, where the NR SL module uses the candidate information shared by the LTE SL module to the NR SL module, continue studying the following alternatives:</w:t>
            </w:r>
          </w:p>
          <w:p w14:paraId="53BE53E7" w14:textId="77777777" w:rsidR="00B46769" w:rsidRPr="00B46769" w:rsidRDefault="00B46769" w:rsidP="00A45730">
            <w:pPr>
              <w:numPr>
                <w:ilvl w:val="0"/>
                <w:numId w:val="33"/>
              </w:numPr>
              <w:autoSpaceDE w:val="0"/>
              <w:autoSpaceDN w:val="0"/>
              <w:spacing w:after="0" w:line="240" w:lineRule="auto"/>
              <w:jc w:val="both"/>
              <w:rPr>
                <w:rFonts w:ascii="Times New Roman" w:eastAsia="MS Mincho" w:hAnsi="Times New Roman" w:cs="Times New Roman"/>
                <w:szCs w:val="20"/>
                <w:lang w:val="en-GB" w:eastAsia="x-none"/>
              </w:rPr>
            </w:pPr>
            <w:r w:rsidRPr="00B46769">
              <w:rPr>
                <w:rFonts w:ascii="Times New Roman" w:eastAsia="MS Mincho" w:hAnsi="Times New Roman" w:cs="Times New Roman"/>
                <w:szCs w:val="20"/>
                <w:lang w:val="en-GB" w:eastAsia="x-none"/>
              </w:rPr>
              <w:t>Alt 1: The LTE SL module provides the NR SL module with the candidate information (excluding at least the candidate resource sets S</w:t>
            </w:r>
            <w:r w:rsidRPr="00B46769">
              <w:rPr>
                <w:rFonts w:ascii="Times New Roman" w:eastAsia="MS Mincho" w:hAnsi="Times New Roman" w:cs="Times New Roman"/>
                <w:szCs w:val="20"/>
                <w:vertAlign w:val="subscript"/>
                <w:lang w:val="en-GB" w:eastAsia="x-none"/>
              </w:rPr>
              <w:t>A</w:t>
            </w:r>
            <w:r w:rsidRPr="00B46769">
              <w:rPr>
                <w:rFonts w:ascii="Times New Roman" w:eastAsia="MS Mincho" w:hAnsi="Times New Roman" w:cs="Times New Roman"/>
                <w:szCs w:val="20"/>
                <w:lang w:val="en-GB" w:eastAsia="x-none"/>
              </w:rPr>
              <w:t xml:space="preserve"> or S</w:t>
            </w:r>
            <w:r w:rsidRPr="00B46769">
              <w:rPr>
                <w:rFonts w:ascii="Times New Roman" w:eastAsia="MS Mincho" w:hAnsi="Times New Roman" w:cs="Times New Roman"/>
                <w:szCs w:val="20"/>
                <w:vertAlign w:val="subscript"/>
                <w:lang w:val="en-GB" w:eastAsia="x-none"/>
              </w:rPr>
              <w:t>B</w:t>
            </w:r>
            <w:r w:rsidRPr="00B46769">
              <w:rPr>
                <w:rFonts w:ascii="Times New Roman" w:eastAsia="MS Mincho" w:hAnsi="Times New Roman" w:cs="Times New Roman"/>
                <w:szCs w:val="20"/>
                <w:lang w:val="en-GB" w:eastAsia="x-none"/>
              </w:rPr>
              <w:t>)</w:t>
            </w:r>
          </w:p>
          <w:p w14:paraId="47A5A07B" w14:textId="77777777" w:rsidR="00B46769" w:rsidRPr="00B46769" w:rsidRDefault="00B46769" w:rsidP="00A45730">
            <w:pPr>
              <w:numPr>
                <w:ilvl w:val="1"/>
                <w:numId w:val="33"/>
              </w:numPr>
              <w:autoSpaceDE w:val="0"/>
              <w:autoSpaceDN w:val="0"/>
              <w:spacing w:after="0" w:line="240" w:lineRule="auto"/>
              <w:jc w:val="both"/>
              <w:rPr>
                <w:rFonts w:ascii="Times New Roman" w:eastAsia="MS Mincho" w:hAnsi="Times New Roman" w:cs="Times New Roman"/>
                <w:szCs w:val="20"/>
                <w:lang w:val="en-GB" w:eastAsia="x-none"/>
              </w:rPr>
            </w:pPr>
            <w:r w:rsidRPr="00B46769">
              <w:rPr>
                <w:rFonts w:ascii="Times New Roman" w:eastAsia="MS Mincho" w:hAnsi="Times New Roman" w:cs="Times New Roman"/>
                <w:szCs w:val="20"/>
                <w:lang w:val="en-GB" w:eastAsia="x-none"/>
              </w:rPr>
              <w:t>The NR SL module identifies a set of resources based on information shared by the LTE SL module.</w:t>
            </w:r>
          </w:p>
          <w:p w14:paraId="380A672D" w14:textId="77777777" w:rsidR="00B46769" w:rsidRPr="00F0082B" w:rsidRDefault="00B46769" w:rsidP="00A45730">
            <w:pPr>
              <w:numPr>
                <w:ilvl w:val="2"/>
                <w:numId w:val="33"/>
              </w:numPr>
              <w:autoSpaceDE w:val="0"/>
              <w:autoSpaceDN w:val="0"/>
              <w:spacing w:after="0" w:line="240" w:lineRule="auto"/>
              <w:jc w:val="both"/>
              <w:rPr>
                <w:rFonts w:ascii="Times New Roman" w:eastAsia="MS Mincho" w:hAnsi="Times New Roman" w:cs="Times New Roman"/>
                <w:szCs w:val="20"/>
                <w:lang w:val="en-GB" w:eastAsia="x-none"/>
              </w:rPr>
            </w:pPr>
            <w:r w:rsidRPr="00F0082B">
              <w:rPr>
                <w:rFonts w:ascii="Times New Roman" w:eastAsia="MS Mincho" w:hAnsi="Times New Roman" w:cs="Times New Roman"/>
                <w:szCs w:val="20"/>
                <w:lang w:val="en-GB" w:eastAsia="x-none"/>
              </w:rPr>
              <w:t>FFS: how to identify the set of resources</w:t>
            </w:r>
          </w:p>
          <w:p w14:paraId="0224F0AF" w14:textId="77777777" w:rsidR="00B46769" w:rsidRPr="00B46769" w:rsidRDefault="00B46769" w:rsidP="00A45730">
            <w:pPr>
              <w:numPr>
                <w:ilvl w:val="1"/>
                <w:numId w:val="33"/>
              </w:numPr>
              <w:autoSpaceDE w:val="0"/>
              <w:autoSpaceDN w:val="0"/>
              <w:spacing w:after="0" w:line="240" w:lineRule="auto"/>
              <w:jc w:val="both"/>
              <w:rPr>
                <w:rFonts w:ascii="Times New Roman" w:eastAsia="MS Mincho" w:hAnsi="Times New Roman" w:cs="Times New Roman"/>
                <w:szCs w:val="20"/>
                <w:lang w:val="en-GB" w:eastAsia="x-none"/>
              </w:rPr>
            </w:pPr>
            <w:r w:rsidRPr="00B46769">
              <w:rPr>
                <w:rFonts w:ascii="Times New Roman" w:eastAsia="MS Mincho" w:hAnsi="Times New Roman" w:cs="Times New Roman"/>
                <w:szCs w:val="20"/>
                <w:lang w:val="en-GB" w:eastAsia="x-none"/>
              </w:rPr>
              <w:t>The NR SL module excludes these identified resources from its own candidate resource set when performing the resource (re)selection procedure.</w:t>
            </w:r>
          </w:p>
          <w:p w14:paraId="5E321A0D" w14:textId="77777777" w:rsidR="00B46769" w:rsidRPr="00B46769" w:rsidRDefault="00B46769" w:rsidP="00A45730">
            <w:pPr>
              <w:numPr>
                <w:ilvl w:val="1"/>
                <w:numId w:val="33"/>
              </w:numPr>
              <w:autoSpaceDE w:val="0"/>
              <w:autoSpaceDN w:val="0"/>
              <w:spacing w:after="0" w:line="240" w:lineRule="auto"/>
              <w:jc w:val="both"/>
              <w:rPr>
                <w:rFonts w:ascii="Times New Roman" w:eastAsia="MS Mincho" w:hAnsi="Times New Roman" w:cs="Times New Roman"/>
                <w:szCs w:val="20"/>
                <w:lang w:val="en-GB" w:eastAsia="x-none"/>
              </w:rPr>
            </w:pPr>
            <w:r w:rsidRPr="00B46769">
              <w:rPr>
                <w:rFonts w:ascii="Times New Roman" w:eastAsia="MS Mincho" w:hAnsi="Times New Roman" w:cs="Times New Roman"/>
                <w:szCs w:val="20"/>
                <w:lang w:val="en-GB" w:eastAsia="x-none"/>
              </w:rPr>
              <w:t>The exclusion process is performed in the PHY layer.</w:t>
            </w:r>
          </w:p>
          <w:p w14:paraId="431E5292" w14:textId="77777777" w:rsidR="00B46769" w:rsidRPr="00B46769" w:rsidRDefault="00B46769" w:rsidP="00A45730">
            <w:pPr>
              <w:numPr>
                <w:ilvl w:val="1"/>
                <w:numId w:val="33"/>
              </w:numPr>
              <w:autoSpaceDE w:val="0"/>
              <w:autoSpaceDN w:val="0"/>
              <w:spacing w:after="0" w:line="240" w:lineRule="auto"/>
              <w:jc w:val="both"/>
              <w:rPr>
                <w:rFonts w:ascii="Times New Roman" w:eastAsia="MS Mincho" w:hAnsi="Times New Roman" w:cs="Times New Roman"/>
                <w:szCs w:val="20"/>
                <w:lang w:val="en-GB" w:eastAsia="x-none"/>
              </w:rPr>
            </w:pPr>
            <w:r w:rsidRPr="00B46769">
              <w:rPr>
                <w:rFonts w:ascii="Times New Roman" w:eastAsia="MS Mincho" w:hAnsi="Times New Roman" w:cs="Times New Roman"/>
                <w:szCs w:val="20"/>
                <w:lang w:val="en-GB" w:eastAsia="x-none"/>
              </w:rPr>
              <w:t>Note: implementation of Alt 1 should not have specification impact to LTE</w:t>
            </w:r>
          </w:p>
          <w:p w14:paraId="7D528074" w14:textId="77777777" w:rsidR="00B46769" w:rsidRPr="00B46769" w:rsidRDefault="00B46769" w:rsidP="00A45730">
            <w:pPr>
              <w:numPr>
                <w:ilvl w:val="0"/>
                <w:numId w:val="33"/>
              </w:numPr>
              <w:autoSpaceDE w:val="0"/>
              <w:autoSpaceDN w:val="0"/>
              <w:spacing w:after="0" w:line="240" w:lineRule="auto"/>
              <w:jc w:val="both"/>
              <w:rPr>
                <w:rFonts w:ascii="Times New Roman" w:eastAsia="MS Mincho" w:hAnsi="Times New Roman" w:cs="Times New Roman"/>
                <w:szCs w:val="20"/>
                <w:lang w:val="en-GB" w:eastAsia="x-none"/>
              </w:rPr>
            </w:pPr>
            <w:r w:rsidRPr="00B46769">
              <w:rPr>
                <w:rFonts w:ascii="Times New Roman" w:eastAsia="MS Mincho" w:hAnsi="Times New Roman" w:cs="Times New Roman"/>
                <w:szCs w:val="20"/>
                <w:lang w:val="en-GB" w:eastAsia="x-none"/>
              </w:rPr>
              <w:t>Alt 2: The LTE SL module provides the NR SL module with the candidate resource sets S</w:t>
            </w:r>
            <w:r w:rsidRPr="00B46769">
              <w:rPr>
                <w:rFonts w:ascii="Times New Roman" w:eastAsia="MS Mincho" w:hAnsi="Times New Roman" w:cs="Times New Roman"/>
                <w:szCs w:val="20"/>
                <w:vertAlign w:val="subscript"/>
                <w:lang w:val="en-GB" w:eastAsia="x-none"/>
              </w:rPr>
              <w:t>A</w:t>
            </w:r>
            <w:r w:rsidRPr="00B46769">
              <w:rPr>
                <w:rFonts w:ascii="Times New Roman" w:eastAsia="MS Mincho" w:hAnsi="Times New Roman" w:cs="Times New Roman"/>
                <w:szCs w:val="20"/>
                <w:lang w:val="en-GB" w:eastAsia="x-none"/>
              </w:rPr>
              <w:t xml:space="preserve"> or S</w:t>
            </w:r>
            <w:r w:rsidRPr="00B46769">
              <w:rPr>
                <w:rFonts w:ascii="Times New Roman" w:eastAsia="MS Mincho" w:hAnsi="Times New Roman" w:cs="Times New Roman"/>
                <w:szCs w:val="20"/>
                <w:vertAlign w:val="subscript"/>
                <w:lang w:val="en-GB" w:eastAsia="x-none"/>
              </w:rPr>
              <w:t xml:space="preserve">B </w:t>
            </w:r>
            <w:r w:rsidRPr="00B46769">
              <w:rPr>
                <w:rFonts w:ascii="Times New Roman" w:eastAsia="MS Mincho" w:hAnsi="Times New Roman" w:cs="Times New Roman"/>
                <w:szCs w:val="20"/>
                <w:lang w:val="en-GB" w:eastAsia="x-none"/>
              </w:rPr>
              <w:t>shared by the LTE SL module</w:t>
            </w:r>
          </w:p>
          <w:p w14:paraId="6116E50A" w14:textId="77777777" w:rsidR="00B46769" w:rsidRPr="00B46769" w:rsidRDefault="00B46769" w:rsidP="00A45730">
            <w:pPr>
              <w:numPr>
                <w:ilvl w:val="1"/>
                <w:numId w:val="33"/>
              </w:numPr>
              <w:autoSpaceDE w:val="0"/>
              <w:autoSpaceDN w:val="0"/>
              <w:spacing w:after="0" w:line="240" w:lineRule="auto"/>
              <w:jc w:val="both"/>
              <w:rPr>
                <w:rFonts w:ascii="Times New Roman" w:eastAsia="MS Mincho" w:hAnsi="Times New Roman" w:cs="Times New Roman"/>
                <w:szCs w:val="20"/>
                <w:lang w:val="en-GB" w:eastAsia="x-none"/>
              </w:rPr>
            </w:pPr>
            <w:r w:rsidRPr="00B46769">
              <w:rPr>
                <w:rFonts w:ascii="Times New Roman" w:eastAsia="MS Mincho" w:hAnsi="Times New Roman" w:cs="Times New Roman"/>
                <w:szCs w:val="20"/>
                <w:lang w:val="en-GB" w:eastAsia="x-none"/>
              </w:rPr>
              <w:t>The LTE PHY SL module is provided information from the higher layer to generate a candidate resource set S</w:t>
            </w:r>
            <w:r w:rsidRPr="00B46769">
              <w:rPr>
                <w:rFonts w:ascii="Times New Roman" w:eastAsia="MS Mincho" w:hAnsi="Times New Roman" w:cs="Times New Roman"/>
                <w:szCs w:val="20"/>
                <w:vertAlign w:val="subscript"/>
                <w:lang w:val="en-GB" w:eastAsia="x-none"/>
              </w:rPr>
              <w:t>A</w:t>
            </w:r>
            <w:r w:rsidRPr="00B46769">
              <w:rPr>
                <w:rFonts w:ascii="Times New Roman" w:eastAsia="MS Mincho" w:hAnsi="Times New Roman" w:cs="Times New Roman"/>
                <w:szCs w:val="20"/>
                <w:lang w:val="en-GB" w:eastAsia="x-none"/>
              </w:rPr>
              <w:t xml:space="preserve"> or S</w:t>
            </w:r>
            <w:r w:rsidRPr="00B46769">
              <w:rPr>
                <w:rFonts w:ascii="Times New Roman" w:eastAsia="MS Mincho" w:hAnsi="Times New Roman" w:cs="Times New Roman"/>
                <w:szCs w:val="20"/>
                <w:vertAlign w:val="subscript"/>
                <w:lang w:val="en-GB" w:eastAsia="x-none"/>
              </w:rPr>
              <w:t>B</w:t>
            </w:r>
            <w:r w:rsidRPr="00B46769">
              <w:rPr>
                <w:rFonts w:ascii="Times New Roman" w:eastAsia="MS Mincho" w:hAnsi="Times New Roman" w:cs="Times New Roman"/>
                <w:szCs w:val="20"/>
                <w:lang w:val="en-GB" w:eastAsia="x-none"/>
              </w:rPr>
              <w:t>. The resource set S</w:t>
            </w:r>
            <w:r w:rsidRPr="00B46769">
              <w:rPr>
                <w:rFonts w:ascii="Times New Roman" w:eastAsia="MS Mincho" w:hAnsi="Times New Roman" w:cs="Times New Roman"/>
                <w:szCs w:val="20"/>
                <w:vertAlign w:val="subscript"/>
                <w:lang w:val="en-GB" w:eastAsia="x-none"/>
              </w:rPr>
              <w:t>A</w:t>
            </w:r>
            <w:r w:rsidRPr="00B46769">
              <w:rPr>
                <w:rFonts w:ascii="Times New Roman" w:eastAsia="MS Mincho" w:hAnsi="Times New Roman" w:cs="Times New Roman"/>
                <w:szCs w:val="20"/>
                <w:lang w:val="en-GB" w:eastAsia="x-none"/>
              </w:rPr>
              <w:t xml:space="preserve"> or S</w:t>
            </w:r>
            <w:r w:rsidRPr="00B46769">
              <w:rPr>
                <w:rFonts w:ascii="Times New Roman" w:eastAsia="MS Mincho" w:hAnsi="Times New Roman" w:cs="Times New Roman"/>
                <w:szCs w:val="20"/>
                <w:vertAlign w:val="subscript"/>
                <w:lang w:val="en-GB" w:eastAsia="x-none"/>
              </w:rPr>
              <w:t>B</w:t>
            </w:r>
            <w:r w:rsidRPr="00B46769">
              <w:rPr>
                <w:rFonts w:ascii="Times New Roman" w:eastAsia="MS Mincho" w:hAnsi="Times New Roman" w:cs="Times New Roman"/>
                <w:szCs w:val="20"/>
                <w:lang w:val="en-GB" w:eastAsia="x-none"/>
              </w:rPr>
              <w:t xml:space="preserve"> is then shared to NR SL module.</w:t>
            </w:r>
          </w:p>
          <w:p w14:paraId="465D970F" w14:textId="77777777" w:rsidR="00B46769" w:rsidRPr="00B46769" w:rsidRDefault="00B46769" w:rsidP="00A45730">
            <w:pPr>
              <w:numPr>
                <w:ilvl w:val="1"/>
                <w:numId w:val="33"/>
              </w:numPr>
              <w:autoSpaceDE w:val="0"/>
              <w:autoSpaceDN w:val="0"/>
              <w:spacing w:after="0" w:line="240" w:lineRule="auto"/>
              <w:jc w:val="both"/>
              <w:rPr>
                <w:rFonts w:ascii="Times New Roman" w:eastAsia="MS Mincho" w:hAnsi="Times New Roman" w:cs="Times New Roman"/>
                <w:szCs w:val="20"/>
                <w:lang w:val="en-GB" w:eastAsia="x-none"/>
              </w:rPr>
            </w:pPr>
            <w:r w:rsidRPr="00B46769">
              <w:rPr>
                <w:rFonts w:ascii="Times New Roman" w:eastAsia="MS Mincho" w:hAnsi="Times New Roman" w:cs="Times New Roman"/>
                <w:szCs w:val="20"/>
                <w:lang w:val="en-GB" w:eastAsia="x-none"/>
              </w:rPr>
              <w:lastRenderedPageBreak/>
              <w:t>The NR SL module performs an intersection operation with the candidate resource set received from the LTE SL module and the candidate resource set generated by the NR SL module.</w:t>
            </w:r>
          </w:p>
          <w:p w14:paraId="0F78FFE8" w14:textId="77777777" w:rsidR="00B46769" w:rsidRPr="00903374" w:rsidRDefault="00B46769" w:rsidP="00A45730">
            <w:pPr>
              <w:numPr>
                <w:ilvl w:val="2"/>
                <w:numId w:val="33"/>
              </w:numPr>
              <w:autoSpaceDE w:val="0"/>
              <w:autoSpaceDN w:val="0"/>
              <w:spacing w:after="0" w:line="240" w:lineRule="auto"/>
              <w:jc w:val="both"/>
              <w:rPr>
                <w:rFonts w:ascii="Times New Roman" w:eastAsia="MS Mincho" w:hAnsi="Times New Roman" w:cs="Times New Roman"/>
                <w:szCs w:val="20"/>
                <w:lang w:val="en-GB" w:eastAsia="x-none"/>
              </w:rPr>
            </w:pPr>
            <w:r w:rsidRPr="00903374">
              <w:rPr>
                <w:rFonts w:ascii="Times New Roman" w:eastAsia="MS Mincho" w:hAnsi="Times New Roman" w:cs="Times New Roman"/>
                <w:szCs w:val="20"/>
                <w:lang w:val="en-GB" w:eastAsia="x-none"/>
              </w:rPr>
              <w:t>FFS: how to handle the case where this results in an insufficient set of resources</w:t>
            </w:r>
          </w:p>
          <w:p w14:paraId="2FFE1883" w14:textId="77777777" w:rsidR="00B46769" w:rsidRPr="006348BB" w:rsidRDefault="00B46769" w:rsidP="00A45730">
            <w:pPr>
              <w:numPr>
                <w:ilvl w:val="1"/>
                <w:numId w:val="33"/>
              </w:numPr>
              <w:autoSpaceDE w:val="0"/>
              <w:autoSpaceDN w:val="0"/>
              <w:spacing w:after="0" w:line="240" w:lineRule="auto"/>
              <w:jc w:val="both"/>
              <w:rPr>
                <w:rFonts w:ascii="Times New Roman" w:eastAsia="MS Mincho" w:hAnsi="Times New Roman" w:cs="Times New Roman"/>
                <w:szCs w:val="20"/>
                <w:lang w:val="en-GB" w:eastAsia="x-none"/>
              </w:rPr>
            </w:pPr>
            <w:r w:rsidRPr="006348BB">
              <w:rPr>
                <w:rFonts w:ascii="Times New Roman" w:eastAsia="MS Mincho" w:hAnsi="Times New Roman" w:cs="Times New Roman"/>
                <w:szCs w:val="20"/>
                <w:lang w:val="en-GB" w:eastAsia="x-none"/>
              </w:rPr>
              <w:t>The intersection operation is performed in the MAC layer.</w:t>
            </w:r>
          </w:p>
          <w:p w14:paraId="41FF1A07" w14:textId="77777777" w:rsidR="00B46769" w:rsidRPr="00903374" w:rsidRDefault="00B46769" w:rsidP="00A45730">
            <w:pPr>
              <w:numPr>
                <w:ilvl w:val="1"/>
                <w:numId w:val="33"/>
              </w:numPr>
              <w:autoSpaceDE w:val="0"/>
              <w:autoSpaceDN w:val="0"/>
              <w:spacing w:after="0" w:line="240" w:lineRule="auto"/>
              <w:jc w:val="both"/>
              <w:rPr>
                <w:rFonts w:ascii="Times New Roman" w:eastAsia="MS Mincho" w:hAnsi="Times New Roman" w:cs="Times New Roman"/>
                <w:szCs w:val="20"/>
                <w:lang w:val="en-GB" w:eastAsia="x-none"/>
              </w:rPr>
            </w:pPr>
            <w:r w:rsidRPr="00B46769">
              <w:rPr>
                <w:rFonts w:ascii="Times New Roman" w:eastAsia="MS Mincho" w:hAnsi="Times New Roman" w:cs="Times New Roman"/>
                <w:szCs w:val="20"/>
                <w:lang w:val="en-GB" w:eastAsia="x-none"/>
              </w:rPr>
              <w:t xml:space="preserve">FFS: </w:t>
            </w:r>
            <w:r w:rsidRPr="00903374">
              <w:rPr>
                <w:rFonts w:ascii="Times New Roman" w:eastAsia="MS Mincho" w:hAnsi="Times New Roman" w:cs="Times New Roman"/>
                <w:szCs w:val="20"/>
                <w:lang w:val="en-GB" w:eastAsia="x-none"/>
              </w:rPr>
              <w:t>How to handle NR V2X parameter settings that are not supported by LTE V2X, e.g., periodicities, sub-channel sizes, etc</w:t>
            </w:r>
          </w:p>
          <w:p w14:paraId="72966079" w14:textId="77777777" w:rsidR="00B46769" w:rsidRPr="00B46769" w:rsidRDefault="00B46769" w:rsidP="00A45730">
            <w:pPr>
              <w:numPr>
                <w:ilvl w:val="1"/>
                <w:numId w:val="33"/>
              </w:numPr>
              <w:autoSpaceDE w:val="0"/>
              <w:autoSpaceDN w:val="0"/>
              <w:spacing w:after="0" w:line="240" w:lineRule="auto"/>
              <w:jc w:val="both"/>
              <w:rPr>
                <w:rFonts w:ascii="Times New Roman" w:eastAsia="MS Mincho" w:hAnsi="Times New Roman" w:cs="Times New Roman"/>
                <w:szCs w:val="20"/>
                <w:lang w:val="en-GB" w:eastAsia="x-none"/>
              </w:rPr>
            </w:pPr>
            <w:r w:rsidRPr="00B46769">
              <w:rPr>
                <w:rFonts w:ascii="Times New Roman" w:eastAsia="MS Mincho" w:hAnsi="Times New Roman" w:cs="Times New Roman"/>
                <w:szCs w:val="20"/>
                <w:lang w:val="en-GB" w:eastAsia="x-none"/>
              </w:rPr>
              <w:t>Note: implementation of Alt 2 should not have specification impact to LTE</w:t>
            </w:r>
          </w:p>
          <w:p w14:paraId="0DFFEB4F" w14:textId="77777777" w:rsidR="00B46769" w:rsidRPr="00B46769" w:rsidRDefault="00B46769" w:rsidP="00A45730">
            <w:pPr>
              <w:numPr>
                <w:ilvl w:val="0"/>
                <w:numId w:val="33"/>
              </w:numPr>
              <w:autoSpaceDE w:val="0"/>
              <w:autoSpaceDN w:val="0"/>
              <w:spacing w:after="0" w:line="240" w:lineRule="auto"/>
              <w:jc w:val="both"/>
              <w:rPr>
                <w:rFonts w:ascii="Times New Roman" w:eastAsia="MS Mincho" w:hAnsi="Times New Roman" w:cs="Times New Roman"/>
                <w:szCs w:val="20"/>
                <w:lang w:val="en-GB" w:eastAsia="x-none"/>
              </w:rPr>
            </w:pPr>
            <w:r w:rsidRPr="00B46769">
              <w:rPr>
                <w:rFonts w:ascii="Times New Roman" w:eastAsia="MS Mincho" w:hAnsi="Times New Roman" w:cs="Times New Roman"/>
                <w:szCs w:val="20"/>
                <w:lang w:val="en-GB" w:eastAsia="x-none"/>
              </w:rPr>
              <w:t>In the next meeting strive to decide between the two alternatives</w:t>
            </w:r>
          </w:p>
          <w:p w14:paraId="5D271B27" w14:textId="77777777" w:rsidR="00B46769" w:rsidRPr="00B46769" w:rsidRDefault="00B46769" w:rsidP="00B46769">
            <w:pPr>
              <w:spacing w:after="0" w:line="240" w:lineRule="auto"/>
              <w:rPr>
                <w:rFonts w:ascii="Times New Roman" w:eastAsia="SimSun" w:hAnsi="Times New Roman" w:cs="Times New Roman"/>
                <w:szCs w:val="20"/>
              </w:rPr>
            </w:pPr>
          </w:p>
          <w:p w14:paraId="40499457" w14:textId="77777777" w:rsidR="00B46769" w:rsidRPr="00B46769" w:rsidRDefault="00B46769" w:rsidP="00B46769">
            <w:pPr>
              <w:spacing w:before="120" w:after="0" w:line="240" w:lineRule="auto"/>
              <w:jc w:val="both"/>
              <w:rPr>
                <w:rFonts w:ascii="Times New Roman" w:eastAsia="MS Mincho" w:hAnsi="Times New Roman" w:cs="Times New Roman"/>
                <w:b/>
                <w:szCs w:val="20"/>
                <w:lang w:eastAsia="x-none"/>
              </w:rPr>
            </w:pPr>
            <w:r w:rsidRPr="00B46769">
              <w:rPr>
                <w:rFonts w:ascii="Times New Roman" w:eastAsia="MS Mincho" w:hAnsi="Times New Roman" w:cs="Times New Roman"/>
                <w:b/>
                <w:szCs w:val="20"/>
                <w:highlight w:val="green"/>
                <w:lang w:eastAsia="x-none"/>
              </w:rPr>
              <w:t>Agreement</w:t>
            </w:r>
          </w:p>
          <w:p w14:paraId="61CC9A08" w14:textId="77777777" w:rsidR="00B46769" w:rsidRPr="00B46769" w:rsidRDefault="00B46769" w:rsidP="00B46769">
            <w:pPr>
              <w:spacing w:after="0"/>
              <w:jc w:val="both"/>
              <w:rPr>
                <w:rFonts w:ascii="Times New Roman" w:eastAsia="MS Mincho" w:hAnsi="Times New Roman" w:cs="Times New Roman"/>
                <w:szCs w:val="20"/>
                <w:lang w:val="en-GB" w:eastAsia="x-none"/>
              </w:rPr>
            </w:pPr>
            <w:r w:rsidRPr="00B46769">
              <w:rPr>
                <w:rFonts w:ascii="Times New Roman" w:eastAsia="MS Mincho" w:hAnsi="Times New Roman" w:cs="Times New Roman"/>
                <w:szCs w:val="20"/>
                <w:lang w:val="en-GB" w:eastAsia="x-none"/>
              </w:rPr>
              <w:t xml:space="preserve">For dynamic resource pool sharing, the NR SL module is expected to use the information shared by the LTE SL module to the NR SL module which is known by NR SL module at the latest T </w:t>
            </w:r>
            <w:proofErr w:type="spellStart"/>
            <w:r w:rsidRPr="00B46769">
              <w:rPr>
                <w:rFonts w:ascii="Times New Roman" w:eastAsia="MS Mincho" w:hAnsi="Times New Roman" w:cs="Times New Roman"/>
                <w:szCs w:val="20"/>
                <w:lang w:val="en-GB" w:eastAsia="x-none"/>
              </w:rPr>
              <w:t>ms</w:t>
            </w:r>
            <w:proofErr w:type="spellEnd"/>
            <w:r w:rsidRPr="00B46769">
              <w:rPr>
                <w:rFonts w:ascii="Times New Roman" w:eastAsia="MS Mincho" w:hAnsi="Times New Roman" w:cs="Times New Roman"/>
                <w:szCs w:val="20"/>
                <w:lang w:val="en-GB" w:eastAsia="x-none"/>
              </w:rPr>
              <w:t xml:space="preserve"> prior to slot n </w:t>
            </w:r>
            <w:r w:rsidRPr="00B46769">
              <w:rPr>
                <w:rFonts w:ascii="Times New Roman" w:eastAsia="SimSun" w:hAnsi="Times New Roman" w:cs="Times New Roman"/>
                <w:szCs w:val="20"/>
                <w:lang w:val="en-GB" w:eastAsia="zh-CN"/>
              </w:rPr>
              <w:t>(as defined in clause 8.1.4 of TS 38.214)</w:t>
            </w:r>
            <w:r w:rsidRPr="00B46769">
              <w:rPr>
                <w:rFonts w:ascii="Times New Roman" w:eastAsia="MS Mincho" w:hAnsi="Times New Roman" w:cs="Times New Roman"/>
                <w:szCs w:val="20"/>
                <w:lang w:val="en-GB" w:eastAsia="x-none"/>
              </w:rPr>
              <w:t>, to determine a set of resources for its own (re)transmission.</w:t>
            </w:r>
          </w:p>
          <w:p w14:paraId="013E093D" w14:textId="77777777" w:rsidR="00B46769" w:rsidRPr="00B46769" w:rsidRDefault="00B46769" w:rsidP="00A45730">
            <w:pPr>
              <w:numPr>
                <w:ilvl w:val="0"/>
                <w:numId w:val="33"/>
              </w:numPr>
              <w:autoSpaceDE w:val="0"/>
              <w:autoSpaceDN w:val="0"/>
              <w:spacing w:after="0" w:line="240" w:lineRule="auto"/>
              <w:jc w:val="both"/>
              <w:rPr>
                <w:rFonts w:ascii="Times New Roman" w:eastAsia="MS Mincho" w:hAnsi="Times New Roman" w:cs="Times New Roman"/>
                <w:szCs w:val="20"/>
                <w:lang w:val="en-GB" w:eastAsia="x-none"/>
              </w:rPr>
            </w:pPr>
            <w:r w:rsidRPr="00B46769">
              <w:rPr>
                <w:rFonts w:ascii="Times New Roman" w:eastAsia="MS Mincho" w:hAnsi="Times New Roman" w:cs="Times New Roman"/>
                <w:szCs w:val="20"/>
                <w:lang w:val="en-GB" w:eastAsia="x-none"/>
              </w:rPr>
              <w:t xml:space="preserve">T is defined using </w:t>
            </w:r>
          </w:p>
          <w:p w14:paraId="43F524F4" w14:textId="77777777" w:rsidR="00B46769" w:rsidRPr="00B46769" w:rsidRDefault="00B46769" w:rsidP="00A45730">
            <w:pPr>
              <w:numPr>
                <w:ilvl w:val="1"/>
                <w:numId w:val="17"/>
              </w:numPr>
              <w:spacing w:after="0" w:line="240" w:lineRule="auto"/>
              <w:jc w:val="both"/>
              <w:rPr>
                <w:rFonts w:ascii="Times New Roman" w:eastAsia="MS Mincho" w:hAnsi="Times New Roman" w:cs="Times New Roman"/>
                <w:szCs w:val="20"/>
                <w:lang w:val="en-GB" w:eastAsia="x-none"/>
              </w:rPr>
            </w:pPr>
            <w:proofErr w:type="spellStart"/>
            <w:r w:rsidRPr="00B46769">
              <w:rPr>
                <w:rFonts w:ascii="Times New Roman" w:eastAsia="MS Mincho" w:hAnsi="Times New Roman" w:cs="Times New Roman"/>
                <w:szCs w:val="20"/>
                <w:lang w:val="en-GB" w:eastAsia="x-none"/>
              </w:rPr>
              <w:t>T≤T</w:t>
            </w:r>
            <w:r w:rsidRPr="00B46769">
              <w:rPr>
                <w:rFonts w:ascii="Times New Roman" w:eastAsia="MS Mincho" w:hAnsi="Times New Roman" w:cs="Times New Roman"/>
                <w:szCs w:val="20"/>
                <w:vertAlign w:val="subscript"/>
                <w:lang w:val="en-GB" w:eastAsia="x-none"/>
              </w:rPr>
              <w:t>max</w:t>
            </w:r>
            <w:proofErr w:type="spellEnd"/>
            <w:r w:rsidRPr="00B46769">
              <w:rPr>
                <w:rFonts w:ascii="Times New Roman" w:eastAsia="MS Mincho" w:hAnsi="Times New Roman" w:cs="Times New Roman"/>
                <w:szCs w:val="20"/>
                <w:lang w:val="en-GB" w:eastAsia="x-none"/>
              </w:rPr>
              <w:t xml:space="preserve"> </w:t>
            </w:r>
            <w:proofErr w:type="spellStart"/>
            <w:r w:rsidRPr="00B46769">
              <w:rPr>
                <w:rFonts w:ascii="Times New Roman" w:eastAsia="MS Mincho" w:hAnsi="Times New Roman" w:cs="Times New Roman"/>
                <w:szCs w:val="20"/>
                <w:lang w:val="en-GB" w:eastAsia="x-none"/>
              </w:rPr>
              <w:t>ms</w:t>
            </w:r>
            <w:proofErr w:type="spellEnd"/>
            <w:r w:rsidRPr="00B46769">
              <w:rPr>
                <w:rFonts w:ascii="Times New Roman" w:eastAsia="MS Mincho" w:hAnsi="Times New Roman" w:cs="Times New Roman"/>
                <w:szCs w:val="20"/>
                <w:lang w:val="en-GB" w:eastAsia="x-none"/>
              </w:rPr>
              <w:t>, and is based on UE implementation, according to the Rel-16 NR SL timeline for in-device coexistence.</w:t>
            </w:r>
          </w:p>
          <w:p w14:paraId="2E977C89" w14:textId="77777777" w:rsidR="00B46769" w:rsidRPr="00903374" w:rsidRDefault="00B46769" w:rsidP="00A45730">
            <w:pPr>
              <w:numPr>
                <w:ilvl w:val="2"/>
                <w:numId w:val="17"/>
              </w:numPr>
              <w:spacing w:after="0" w:line="240" w:lineRule="auto"/>
              <w:jc w:val="both"/>
              <w:rPr>
                <w:rFonts w:ascii="Times New Roman" w:eastAsia="MS Mincho" w:hAnsi="Times New Roman" w:cs="Times New Roman"/>
                <w:szCs w:val="20"/>
                <w:lang w:val="en-GB" w:eastAsia="x-none"/>
              </w:rPr>
            </w:pPr>
            <w:r w:rsidRPr="00903374">
              <w:rPr>
                <w:rFonts w:ascii="Times New Roman" w:eastAsia="MS Mincho" w:hAnsi="Times New Roman" w:cs="Times New Roman"/>
                <w:szCs w:val="20"/>
                <w:lang w:val="en-GB" w:eastAsia="x-none"/>
              </w:rPr>
              <w:t xml:space="preserve">FFS: Value of </w:t>
            </w:r>
            <w:proofErr w:type="spellStart"/>
            <w:r w:rsidRPr="00903374">
              <w:rPr>
                <w:rFonts w:ascii="Times New Roman" w:eastAsia="MS Mincho" w:hAnsi="Times New Roman" w:cs="Times New Roman"/>
                <w:szCs w:val="20"/>
                <w:lang w:val="en-GB" w:eastAsia="x-none"/>
              </w:rPr>
              <w:t>T</w:t>
            </w:r>
            <w:r w:rsidRPr="00903374">
              <w:rPr>
                <w:rFonts w:ascii="Times New Roman" w:eastAsia="MS Mincho" w:hAnsi="Times New Roman" w:cs="Times New Roman"/>
                <w:szCs w:val="20"/>
                <w:vertAlign w:val="subscript"/>
                <w:lang w:val="en-GB" w:eastAsia="x-none"/>
              </w:rPr>
              <w:t>max</w:t>
            </w:r>
            <w:proofErr w:type="spellEnd"/>
          </w:p>
          <w:p w14:paraId="04915530" w14:textId="77777777" w:rsidR="00B46769" w:rsidRPr="00B46769" w:rsidRDefault="00B46769" w:rsidP="00A45730">
            <w:pPr>
              <w:numPr>
                <w:ilvl w:val="0"/>
                <w:numId w:val="33"/>
              </w:numPr>
              <w:autoSpaceDE w:val="0"/>
              <w:autoSpaceDN w:val="0"/>
              <w:spacing w:after="0" w:line="240" w:lineRule="auto"/>
              <w:jc w:val="both"/>
              <w:rPr>
                <w:rFonts w:ascii="Times New Roman" w:eastAsia="MS Mincho" w:hAnsi="Times New Roman" w:cs="Times New Roman"/>
                <w:szCs w:val="20"/>
                <w:lang w:val="en-GB" w:eastAsia="x-none"/>
              </w:rPr>
            </w:pPr>
            <w:r w:rsidRPr="00B46769">
              <w:rPr>
                <w:rFonts w:ascii="Times New Roman" w:eastAsia="MS Mincho" w:hAnsi="Times New Roman" w:cs="Times New Roman"/>
                <w:szCs w:val="20"/>
                <w:lang w:val="en-GB" w:eastAsia="x-none"/>
              </w:rPr>
              <w:t>FFS: any discussion on the earliest information, if needed</w:t>
            </w:r>
          </w:p>
          <w:p w14:paraId="44C643B6" w14:textId="686BAFF6" w:rsidR="001762B2" w:rsidRPr="000E24F9" w:rsidRDefault="001762B2" w:rsidP="006E1350">
            <w:pPr>
              <w:ind w:left="1440"/>
              <w:jc w:val="both"/>
              <w:rPr>
                <w:rFonts w:ascii="Times New Roman" w:eastAsia="Batang" w:hAnsi="Times New Roman" w:cs="Times New Roman"/>
                <w:i/>
                <w:sz w:val="20"/>
                <w:szCs w:val="20"/>
                <w:lang w:val="en-GB" w:eastAsia="en-GB"/>
              </w:rPr>
            </w:pPr>
          </w:p>
        </w:tc>
      </w:tr>
    </w:tbl>
    <w:p w14:paraId="4E3F6E9B" w14:textId="2D7946C2" w:rsidR="002A03FB" w:rsidRPr="00B2774B" w:rsidRDefault="00952926" w:rsidP="00812EB3">
      <w:pPr>
        <w:pStyle w:val="BodyText"/>
        <w:spacing w:before="240"/>
      </w:pPr>
      <w:r w:rsidDel="0037589F">
        <w:lastRenderedPageBreak/>
        <w:t xml:space="preserve">In this paper, we </w:t>
      </w:r>
      <w:r w:rsidR="00812EB3">
        <w:t>present our views</w:t>
      </w:r>
      <w:r w:rsidR="00B2774B">
        <w:t xml:space="preserve"> on </w:t>
      </w:r>
      <w:r w:rsidR="001D5C30">
        <w:t xml:space="preserve">the issues </w:t>
      </w:r>
      <w:r w:rsidR="003D41AC">
        <w:t xml:space="preserve">and the corresponding solutions to operate </w:t>
      </w:r>
      <w:r w:rsidR="00B973D7">
        <w:t>LTE-NR co-channel coexistence</w:t>
      </w:r>
      <w:r w:rsidR="00912797">
        <w:t>.</w:t>
      </w:r>
    </w:p>
    <w:p w14:paraId="7B844FED" w14:textId="5A3285A6" w:rsidR="00961790" w:rsidRPr="000F1354" w:rsidRDefault="00961790" w:rsidP="00911923">
      <w:bookmarkStart w:id="0" w:name="_Toc110957117"/>
      <w:bookmarkStart w:id="1" w:name="_Toc110957133"/>
      <w:bookmarkStart w:id="2" w:name="_Toc110957134"/>
      <w:bookmarkStart w:id="3" w:name="_Ref178064866"/>
      <w:bookmarkEnd w:id="0"/>
      <w:bookmarkEnd w:id="1"/>
      <w:bookmarkEnd w:id="2"/>
    </w:p>
    <w:p w14:paraId="12ADCE71" w14:textId="2CC60897" w:rsidR="001C1254" w:rsidRDefault="001039D5" w:rsidP="00F45384">
      <w:pPr>
        <w:pStyle w:val="Heading1"/>
      </w:pPr>
      <w:r>
        <w:t>2</w:t>
      </w:r>
      <w:r w:rsidR="00ED2431" w:rsidRPr="00F45384">
        <w:tab/>
        <w:t>S</w:t>
      </w:r>
      <w:r w:rsidR="007437D7" w:rsidRPr="00ED2431">
        <w:t>olutions for</w:t>
      </w:r>
      <w:r w:rsidR="00C53434" w:rsidRPr="00ED2431">
        <w:t xml:space="preserve"> co-channel coexistence between LTE and NR </w:t>
      </w:r>
      <w:proofErr w:type="spellStart"/>
      <w:r w:rsidR="00C53434" w:rsidRPr="00ED2431">
        <w:t>sidelink</w:t>
      </w:r>
      <w:proofErr w:type="spellEnd"/>
    </w:p>
    <w:p w14:paraId="23B4D0C8" w14:textId="7AF3EAEA" w:rsidR="00FB2936" w:rsidRDefault="00FB2936" w:rsidP="00FB2936">
      <w:pPr>
        <w:pStyle w:val="BodyText"/>
        <w:rPr>
          <w:rFonts w:cs="Arial"/>
        </w:rPr>
      </w:pPr>
      <w:r>
        <w:rPr>
          <w:rFonts w:cs="Arial"/>
        </w:rPr>
        <w:t>In this section</w:t>
      </w:r>
      <w:r w:rsidR="00691802">
        <w:rPr>
          <w:rFonts w:cs="Arial"/>
        </w:rPr>
        <w:t>,</w:t>
      </w:r>
      <w:r>
        <w:rPr>
          <w:rFonts w:cs="Arial"/>
        </w:rPr>
        <w:t xml:space="preserve"> we discuss solutions for co-channel coexistence between LTE and NR </w:t>
      </w:r>
      <w:proofErr w:type="spellStart"/>
      <w:r>
        <w:rPr>
          <w:rFonts w:cs="Arial"/>
        </w:rPr>
        <w:t>sidelinks</w:t>
      </w:r>
      <w:proofErr w:type="spellEnd"/>
      <w:r>
        <w:rPr>
          <w:rFonts w:cs="Arial"/>
        </w:rPr>
        <w:t xml:space="preserve">. First, we discuss a few baseline assumptions to ensure that the solution is useful in practice and to limit the scope of the discussions. </w:t>
      </w:r>
      <w:r w:rsidR="005B6063">
        <w:rPr>
          <w:rFonts w:cs="Arial"/>
        </w:rPr>
        <w:t>The</w:t>
      </w:r>
      <w:r w:rsidR="00412118">
        <w:rPr>
          <w:rFonts w:cs="Arial"/>
        </w:rPr>
        <w:t>n,</w:t>
      </w:r>
      <w:r w:rsidR="005B6063">
        <w:rPr>
          <w:rFonts w:cs="Arial"/>
        </w:rPr>
        <w:t xml:space="preserve"> we discuss </w:t>
      </w:r>
      <w:r w:rsidR="000F078B">
        <w:rPr>
          <w:rFonts w:cs="Arial"/>
        </w:rPr>
        <w:t xml:space="preserve">static coexistence solutions, including the Rel16 framework. </w:t>
      </w:r>
      <w:r>
        <w:rPr>
          <w:rFonts w:cs="Arial"/>
        </w:rPr>
        <w:t xml:space="preserve">Finally, we present </w:t>
      </w:r>
      <w:r w:rsidR="00D746E9">
        <w:rPr>
          <w:rFonts w:cs="Arial"/>
        </w:rPr>
        <w:t>our view on</w:t>
      </w:r>
      <w:r>
        <w:rPr>
          <w:rFonts w:cs="Arial"/>
        </w:rPr>
        <w:t xml:space="preserve"> </w:t>
      </w:r>
      <w:r w:rsidR="00412118">
        <w:rPr>
          <w:rFonts w:cs="Arial"/>
        </w:rPr>
        <w:t xml:space="preserve">the </w:t>
      </w:r>
      <w:r>
        <w:rPr>
          <w:rFonts w:cs="Arial"/>
        </w:rPr>
        <w:t>dynamic co-channel coexistence of LTE and NR SLs.</w:t>
      </w:r>
    </w:p>
    <w:p w14:paraId="6ABA5FB8" w14:textId="757CF035" w:rsidR="00FB2936" w:rsidRDefault="00911923" w:rsidP="00FB2936">
      <w:pPr>
        <w:pStyle w:val="Heading2"/>
      </w:pPr>
      <w:r>
        <w:t>2</w:t>
      </w:r>
      <w:r w:rsidR="00FB2936">
        <w:t>.1</w:t>
      </w:r>
      <w:r w:rsidR="00FB2936">
        <w:tab/>
        <w:t>Baseline assumptions</w:t>
      </w:r>
    </w:p>
    <w:p w14:paraId="0AF71899" w14:textId="77777777" w:rsidR="00FB2936" w:rsidRDefault="00FB2936" w:rsidP="00FB2936">
      <w:pPr>
        <w:rPr>
          <w:lang w:val="en-GB" w:eastAsia="ja-JP"/>
        </w:rPr>
      </w:pPr>
      <w:r>
        <w:rPr>
          <w:lang w:val="en-GB" w:eastAsia="ja-JP"/>
        </w:rPr>
        <w:t>At the start of Rel-18, we find the following types of legacy UEs:</w:t>
      </w:r>
    </w:p>
    <w:p w14:paraId="447757A2" w14:textId="77777777" w:rsidR="00FB2936" w:rsidRDefault="00FB2936" w:rsidP="00A45730">
      <w:pPr>
        <w:pStyle w:val="ListParagraph"/>
        <w:numPr>
          <w:ilvl w:val="0"/>
          <w:numId w:val="12"/>
        </w:numPr>
        <w:rPr>
          <w:rFonts w:ascii="Arial" w:hAnsi="Arial" w:cs="Arial"/>
          <w:sz w:val="20"/>
          <w:szCs w:val="20"/>
          <w:lang w:val="en-GB" w:eastAsia="ja-JP"/>
        </w:rPr>
      </w:pPr>
      <w:r w:rsidRPr="00D96774">
        <w:rPr>
          <w:rFonts w:ascii="Arial" w:hAnsi="Arial" w:cs="Arial"/>
          <w:sz w:val="20"/>
          <w:szCs w:val="20"/>
          <w:lang w:val="en-GB" w:eastAsia="ja-JP"/>
        </w:rPr>
        <w:t>LTE SL UEs (Rel-14, Rel-15)</w:t>
      </w:r>
      <w:r>
        <w:rPr>
          <w:rFonts w:ascii="Arial" w:hAnsi="Arial" w:cs="Arial"/>
          <w:sz w:val="20"/>
          <w:szCs w:val="20"/>
          <w:lang w:val="en-GB" w:eastAsia="ja-JP"/>
        </w:rPr>
        <w:t>.</w:t>
      </w:r>
    </w:p>
    <w:p w14:paraId="3169C894" w14:textId="77777777" w:rsidR="00FB2936" w:rsidRDefault="00FB2936" w:rsidP="00A45730">
      <w:pPr>
        <w:pStyle w:val="ListParagraph"/>
        <w:numPr>
          <w:ilvl w:val="0"/>
          <w:numId w:val="12"/>
        </w:numPr>
        <w:rPr>
          <w:rFonts w:ascii="Arial" w:hAnsi="Arial" w:cs="Arial"/>
          <w:sz w:val="20"/>
          <w:szCs w:val="20"/>
          <w:lang w:val="en-GB" w:eastAsia="ja-JP"/>
        </w:rPr>
      </w:pPr>
      <w:r>
        <w:rPr>
          <w:rFonts w:ascii="Arial" w:hAnsi="Arial" w:cs="Arial"/>
          <w:sz w:val="20"/>
          <w:szCs w:val="20"/>
          <w:lang w:val="en-GB" w:eastAsia="ja-JP"/>
        </w:rPr>
        <w:t>NR SL UEs (Rel-16, Rel-17).</w:t>
      </w:r>
    </w:p>
    <w:p w14:paraId="4240B0BB" w14:textId="77777777" w:rsidR="00FB2936" w:rsidRPr="00E3254A" w:rsidRDefault="00FB2936" w:rsidP="00FB2936">
      <w:pPr>
        <w:spacing w:before="240"/>
        <w:jc w:val="both"/>
        <w:rPr>
          <w:rFonts w:cs="Arial"/>
          <w:szCs w:val="20"/>
          <w:lang w:val="en-GB" w:eastAsia="ja-JP"/>
        </w:rPr>
      </w:pPr>
      <w:r>
        <w:rPr>
          <w:rFonts w:cs="Arial"/>
          <w:szCs w:val="20"/>
          <w:lang w:val="en-GB" w:eastAsia="ja-JP"/>
        </w:rPr>
        <w:t xml:space="preserve">In our view, the following limitations are applicable regarding the solutions for co-channel coexistence </w:t>
      </w:r>
      <w:r w:rsidRPr="00E3254A">
        <w:rPr>
          <w:rFonts w:cs="Arial"/>
          <w:szCs w:val="20"/>
          <w:lang w:val="en-GB" w:eastAsia="ja-JP"/>
        </w:rPr>
        <w:t>studied in Rel-18.</w:t>
      </w:r>
    </w:p>
    <w:p w14:paraId="46C8BD0A" w14:textId="77777777" w:rsidR="00FB2936" w:rsidRPr="00115296" w:rsidRDefault="00FB2936" w:rsidP="00A45730">
      <w:pPr>
        <w:pStyle w:val="ListParagraph"/>
        <w:numPr>
          <w:ilvl w:val="0"/>
          <w:numId w:val="13"/>
        </w:numPr>
        <w:jc w:val="both"/>
        <w:rPr>
          <w:rFonts w:ascii="Arial" w:hAnsi="Arial" w:cs="Arial"/>
          <w:sz w:val="20"/>
          <w:szCs w:val="20"/>
          <w:lang w:val="en-GB" w:eastAsia="ja-JP"/>
        </w:rPr>
      </w:pPr>
      <w:r w:rsidRPr="00115296">
        <w:rPr>
          <w:rFonts w:ascii="Arial" w:hAnsi="Arial" w:cs="Arial"/>
          <w:sz w:val="20"/>
          <w:szCs w:val="20"/>
          <w:lang w:val="en-GB" w:eastAsia="ja-JP"/>
        </w:rPr>
        <w:t>For LTE SL UEs:</w:t>
      </w:r>
    </w:p>
    <w:p w14:paraId="1E0910EF" w14:textId="07C904E9" w:rsidR="00FB2936" w:rsidRPr="00115296" w:rsidRDefault="00325688" w:rsidP="00A45730">
      <w:pPr>
        <w:pStyle w:val="ListParagraph"/>
        <w:numPr>
          <w:ilvl w:val="1"/>
          <w:numId w:val="13"/>
        </w:numPr>
        <w:jc w:val="both"/>
        <w:rPr>
          <w:rFonts w:ascii="Arial" w:hAnsi="Arial" w:cs="Arial"/>
          <w:sz w:val="20"/>
          <w:szCs w:val="20"/>
          <w:lang w:val="en-GB" w:eastAsia="ja-JP"/>
        </w:rPr>
      </w:pPr>
      <w:r w:rsidRPr="00037E8F">
        <w:rPr>
          <w:rFonts w:ascii="Arial" w:hAnsi="Arial" w:cs="Arial"/>
          <w:sz w:val="20"/>
          <w:szCs w:val="20"/>
          <w:lang w:val="en-GB" w:eastAsia="ja-JP"/>
        </w:rPr>
        <w:t>As agreed, c</w:t>
      </w:r>
      <w:r w:rsidR="00FB2936" w:rsidRPr="00115296">
        <w:rPr>
          <w:rFonts w:ascii="Arial" w:hAnsi="Arial" w:cs="Arial"/>
          <w:sz w:val="20"/>
          <w:szCs w:val="20"/>
          <w:lang w:val="en-GB" w:eastAsia="ja-JP"/>
        </w:rPr>
        <w:t>hanges to the specification (signalling, procedures, etc.) are not possible.</w:t>
      </w:r>
    </w:p>
    <w:p w14:paraId="5CDB74AB" w14:textId="77777777" w:rsidR="00FB2936" w:rsidRPr="00E3254A" w:rsidRDefault="00FB2936" w:rsidP="00A45730">
      <w:pPr>
        <w:pStyle w:val="ListParagraph"/>
        <w:numPr>
          <w:ilvl w:val="1"/>
          <w:numId w:val="13"/>
        </w:numPr>
        <w:jc w:val="both"/>
        <w:rPr>
          <w:rFonts w:ascii="Arial" w:hAnsi="Arial" w:cs="Arial"/>
          <w:sz w:val="20"/>
          <w:szCs w:val="20"/>
          <w:lang w:val="en-GB" w:eastAsia="ja-JP"/>
        </w:rPr>
      </w:pPr>
      <w:r w:rsidRPr="00E3254A">
        <w:rPr>
          <w:rFonts w:ascii="Arial" w:hAnsi="Arial" w:cs="Arial"/>
          <w:sz w:val="20"/>
          <w:szCs w:val="20"/>
          <w:lang w:val="en-GB" w:eastAsia="ja-JP"/>
        </w:rPr>
        <w:t>Changes to the configuration (e.g., pool configuration) are possible but should be minimized.</w:t>
      </w:r>
    </w:p>
    <w:p w14:paraId="6A17A7C6" w14:textId="77777777" w:rsidR="00FB2936" w:rsidRPr="00E3254A" w:rsidRDefault="00FB2936" w:rsidP="00A45730">
      <w:pPr>
        <w:pStyle w:val="ListParagraph"/>
        <w:numPr>
          <w:ilvl w:val="0"/>
          <w:numId w:val="13"/>
        </w:numPr>
        <w:jc w:val="both"/>
        <w:rPr>
          <w:rFonts w:ascii="Arial" w:hAnsi="Arial" w:cs="Arial"/>
          <w:sz w:val="20"/>
          <w:szCs w:val="20"/>
          <w:lang w:val="en-GB" w:eastAsia="ja-JP"/>
        </w:rPr>
      </w:pPr>
      <w:r w:rsidRPr="00E3254A">
        <w:rPr>
          <w:rFonts w:ascii="Arial" w:hAnsi="Arial" w:cs="Arial"/>
          <w:sz w:val="20"/>
          <w:szCs w:val="20"/>
          <w:lang w:val="en-GB" w:eastAsia="ja-JP"/>
        </w:rPr>
        <w:t>For NR SL UEs:</w:t>
      </w:r>
    </w:p>
    <w:p w14:paraId="288C4719" w14:textId="77777777" w:rsidR="00FB2936" w:rsidRPr="00E3254A" w:rsidRDefault="00FB2936" w:rsidP="00A45730">
      <w:pPr>
        <w:pStyle w:val="ListParagraph"/>
        <w:numPr>
          <w:ilvl w:val="1"/>
          <w:numId w:val="13"/>
        </w:numPr>
        <w:jc w:val="both"/>
        <w:rPr>
          <w:rFonts w:ascii="Arial" w:hAnsi="Arial" w:cs="Arial"/>
          <w:sz w:val="20"/>
          <w:szCs w:val="20"/>
          <w:lang w:val="en-GB" w:eastAsia="ja-JP"/>
        </w:rPr>
      </w:pPr>
      <w:r w:rsidRPr="00E3254A">
        <w:rPr>
          <w:rFonts w:ascii="Arial" w:hAnsi="Arial" w:cs="Arial"/>
          <w:sz w:val="20"/>
          <w:szCs w:val="20"/>
          <w:lang w:val="en-GB" w:eastAsia="ja-JP"/>
        </w:rPr>
        <w:t>New procedures can be introduced, but these are only applicable to Rel-18 UEs.</w:t>
      </w:r>
    </w:p>
    <w:p w14:paraId="73BD1746" w14:textId="77777777" w:rsidR="004F44B6" w:rsidRPr="00E3254A" w:rsidRDefault="004F44B6" w:rsidP="00A45730">
      <w:pPr>
        <w:pStyle w:val="ListParagraph"/>
        <w:numPr>
          <w:ilvl w:val="1"/>
          <w:numId w:val="13"/>
        </w:numPr>
        <w:jc w:val="both"/>
        <w:rPr>
          <w:rFonts w:ascii="Arial" w:hAnsi="Arial" w:cs="Arial"/>
          <w:sz w:val="20"/>
          <w:szCs w:val="20"/>
          <w:lang w:val="en-GB" w:eastAsia="ja-JP"/>
        </w:rPr>
      </w:pPr>
      <w:r>
        <w:rPr>
          <w:rFonts w:ascii="Arial" w:hAnsi="Arial" w:cs="Arial"/>
          <w:sz w:val="20"/>
          <w:szCs w:val="20"/>
          <w:lang w:val="en-GB" w:eastAsia="ja-JP"/>
        </w:rPr>
        <w:t>It is clear from the WID that t</w:t>
      </w:r>
      <w:r w:rsidRPr="00E3254A">
        <w:rPr>
          <w:rFonts w:ascii="Arial" w:hAnsi="Arial" w:cs="Arial"/>
          <w:sz w:val="20"/>
          <w:szCs w:val="20"/>
          <w:lang w:val="en-GB" w:eastAsia="ja-JP"/>
        </w:rPr>
        <w:t xml:space="preserve">he co-channel coexistence framework specified in Rel-18 should not create any </w:t>
      </w:r>
      <w:r>
        <w:rPr>
          <w:rFonts w:ascii="Arial" w:hAnsi="Arial" w:cs="Arial"/>
          <w:sz w:val="20"/>
          <w:szCs w:val="20"/>
          <w:lang w:val="en-GB" w:eastAsia="ja-JP"/>
        </w:rPr>
        <w:t>backward</w:t>
      </w:r>
      <w:r w:rsidRPr="00E3254A">
        <w:rPr>
          <w:rFonts w:ascii="Arial" w:hAnsi="Arial" w:cs="Arial"/>
          <w:sz w:val="20"/>
          <w:szCs w:val="20"/>
          <w:lang w:val="en-GB" w:eastAsia="ja-JP"/>
        </w:rPr>
        <w:t xml:space="preserve"> compatibility issue between Rel-16/Rel-17 NR SL UEs and Rel-18 NR SL UEs.</w:t>
      </w:r>
    </w:p>
    <w:p w14:paraId="45DA8BF8" w14:textId="7A8806EB" w:rsidR="00FB2936" w:rsidRDefault="00FB2936" w:rsidP="00A45730">
      <w:pPr>
        <w:pStyle w:val="ListParagraph"/>
        <w:numPr>
          <w:ilvl w:val="0"/>
          <w:numId w:val="13"/>
        </w:numPr>
        <w:jc w:val="both"/>
        <w:rPr>
          <w:rFonts w:ascii="Arial" w:hAnsi="Arial" w:cs="Arial"/>
          <w:sz w:val="20"/>
          <w:szCs w:val="20"/>
          <w:lang w:val="en-GB" w:eastAsia="ja-JP"/>
        </w:rPr>
      </w:pPr>
      <w:r w:rsidRPr="00E3254A">
        <w:rPr>
          <w:rFonts w:ascii="Arial" w:hAnsi="Arial" w:cs="Arial"/>
          <w:sz w:val="20"/>
          <w:szCs w:val="20"/>
          <w:lang w:val="en-GB" w:eastAsia="ja-JP"/>
        </w:rPr>
        <w:t>The impact of having co-channel deployments of different RATs (e.g., interference from NR SL to LTE SL and vice versa) should be as limited as possible.</w:t>
      </w:r>
    </w:p>
    <w:p w14:paraId="4F7E6593" w14:textId="77777777" w:rsidR="00412118" w:rsidRDefault="00412118" w:rsidP="008E68C4">
      <w:pPr>
        <w:pStyle w:val="ListParagraph"/>
        <w:jc w:val="both"/>
        <w:rPr>
          <w:rFonts w:ascii="Arial" w:hAnsi="Arial" w:cs="Arial"/>
          <w:sz w:val="20"/>
          <w:szCs w:val="20"/>
          <w:lang w:val="en-GB" w:eastAsia="ja-JP"/>
        </w:rPr>
      </w:pPr>
    </w:p>
    <w:p w14:paraId="4CC2167D" w14:textId="631E42EC" w:rsidR="00FB2936" w:rsidRPr="004528AF" w:rsidRDefault="00FB2936" w:rsidP="00FB2936">
      <w:pPr>
        <w:pStyle w:val="Proposal"/>
        <w:rPr>
          <w:rFonts w:cs="Arial"/>
          <w:szCs w:val="20"/>
          <w:lang w:val="en-GB" w:eastAsia="ja-JP"/>
        </w:rPr>
      </w:pPr>
      <w:bookmarkStart w:id="4" w:name="_Toc118727545"/>
      <w:r>
        <w:rPr>
          <w:rFonts w:cs="Arial"/>
          <w:szCs w:val="20"/>
          <w:lang w:val="en-GB" w:eastAsia="ja-JP"/>
        </w:rPr>
        <w:t>RAN1 discusses solutions for co-channel coexistence that meet the following principles:</w:t>
      </w:r>
      <w:bookmarkEnd w:id="4"/>
    </w:p>
    <w:p w14:paraId="4CE5A994" w14:textId="1FB9A3CE" w:rsidR="00FB2936" w:rsidRPr="0080374C" w:rsidRDefault="00FB2936" w:rsidP="00A45730">
      <w:pPr>
        <w:pStyle w:val="Proposal"/>
        <w:numPr>
          <w:ilvl w:val="0"/>
          <w:numId w:val="14"/>
        </w:numPr>
        <w:rPr>
          <w:lang w:val="en-GB"/>
        </w:rPr>
      </w:pPr>
      <w:bookmarkStart w:id="5" w:name="_Toc118727546"/>
      <w:r w:rsidRPr="0080374C">
        <w:rPr>
          <w:lang w:val="en-GB"/>
        </w:rPr>
        <w:t>Changes to the configuration (e.g., pool configuration) are possible but should be minimized.</w:t>
      </w:r>
      <w:bookmarkEnd w:id="5"/>
    </w:p>
    <w:p w14:paraId="2E82AD8B" w14:textId="77777777" w:rsidR="00FB2936" w:rsidRDefault="00FB2936" w:rsidP="00A45730">
      <w:pPr>
        <w:pStyle w:val="Proposal"/>
        <w:numPr>
          <w:ilvl w:val="0"/>
          <w:numId w:val="14"/>
        </w:numPr>
        <w:rPr>
          <w:lang w:val="en-GB"/>
        </w:rPr>
      </w:pPr>
      <w:bookmarkStart w:id="6" w:name="_Toc118727547"/>
      <w:r w:rsidRPr="0080374C">
        <w:rPr>
          <w:lang w:val="en-GB"/>
        </w:rPr>
        <w:t xml:space="preserve">The impact of having co-channel deployments </w:t>
      </w:r>
      <w:r>
        <w:rPr>
          <w:lang w:val="en-GB"/>
        </w:rPr>
        <w:t xml:space="preserve">to the different RATs </w:t>
      </w:r>
      <w:r w:rsidRPr="0080374C">
        <w:rPr>
          <w:lang w:val="en-GB"/>
        </w:rPr>
        <w:t>should be as limited as possible.</w:t>
      </w:r>
      <w:bookmarkEnd w:id="6"/>
    </w:p>
    <w:p w14:paraId="71E804C3" w14:textId="1DE8DDB3" w:rsidR="002E1470" w:rsidRDefault="00EE3BE6" w:rsidP="00F47785">
      <w:pPr>
        <w:pStyle w:val="Heading3"/>
      </w:pPr>
      <w:r>
        <w:t>2</w:t>
      </w:r>
      <w:r w:rsidR="00F47785">
        <w:t>.1.</w:t>
      </w:r>
      <w:r w:rsidR="00F7224F">
        <w:t>1</w:t>
      </w:r>
      <w:r w:rsidR="00C24DAF">
        <w:tab/>
      </w:r>
      <w:r w:rsidR="002E1470">
        <w:t>Configuration</w:t>
      </w:r>
    </w:p>
    <w:p w14:paraId="0AD7828E" w14:textId="54C31AA6" w:rsidR="004E283D" w:rsidRDefault="004E283D" w:rsidP="004E283D">
      <w:pPr>
        <w:rPr>
          <w:lang w:val="en-GB" w:eastAsia="ja-JP"/>
        </w:rPr>
      </w:pPr>
      <w:r>
        <w:rPr>
          <w:lang w:val="en-GB" w:eastAsia="ja-JP"/>
        </w:rPr>
        <w:t xml:space="preserve">An LTE SL carrier for V2X, would typically use the </w:t>
      </w:r>
      <w:r w:rsidR="00666A12">
        <w:rPr>
          <w:lang w:val="en-GB" w:eastAsia="ja-JP"/>
        </w:rPr>
        <w:t xml:space="preserve">following </w:t>
      </w:r>
      <w:r>
        <w:rPr>
          <w:lang w:val="en-GB" w:eastAsia="ja-JP"/>
        </w:rPr>
        <w:t xml:space="preserve">configuration in </w:t>
      </w:r>
      <w:r>
        <w:rPr>
          <w:lang w:val="en-GB" w:eastAsia="ja-JP"/>
        </w:rPr>
        <w:fldChar w:fldCharType="begin"/>
      </w:r>
      <w:r>
        <w:rPr>
          <w:lang w:val="en-GB" w:eastAsia="ja-JP"/>
        </w:rPr>
        <w:instrText xml:space="preserve"> REF _Ref111102750 \h </w:instrText>
      </w:r>
      <w:r>
        <w:rPr>
          <w:lang w:val="en-GB" w:eastAsia="ja-JP"/>
        </w:rPr>
      </w:r>
      <w:r>
        <w:rPr>
          <w:lang w:val="en-GB" w:eastAsia="ja-JP"/>
        </w:rPr>
        <w:fldChar w:fldCharType="separate"/>
      </w:r>
      <w:r>
        <w:t xml:space="preserve">Table </w:t>
      </w:r>
      <w:r>
        <w:rPr>
          <w:noProof/>
        </w:rPr>
        <w:t>1</w:t>
      </w:r>
      <w:r>
        <w:rPr>
          <w:lang w:val="en-GB" w:eastAsia="ja-JP"/>
        </w:rPr>
        <w:fldChar w:fldCharType="end"/>
      </w:r>
      <w:r>
        <w:rPr>
          <w:lang w:val="en-GB" w:eastAsia="ja-JP"/>
        </w:rPr>
        <w:t xml:space="preserve">. </w:t>
      </w:r>
    </w:p>
    <w:p w14:paraId="08B8361D" w14:textId="34172684" w:rsidR="004E283D" w:rsidRDefault="004E283D" w:rsidP="004E283D">
      <w:pPr>
        <w:pStyle w:val="Caption"/>
        <w:keepNext/>
        <w:jc w:val="center"/>
      </w:pPr>
      <w:bookmarkStart w:id="7" w:name="_Ref111102750"/>
      <w:r>
        <w:t xml:space="preserve">Table </w:t>
      </w:r>
      <w:r>
        <w:fldChar w:fldCharType="begin"/>
      </w:r>
      <w:r>
        <w:instrText xml:space="preserve"> SEQ Table \* ARABIC </w:instrText>
      </w:r>
      <w:r>
        <w:fldChar w:fldCharType="separate"/>
      </w:r>
      <w:r>
        <w:rPr>
          <w:noProof/>
        </w:rPr>
        <w:t>1</w:t>
      </w:r>
      <w:r>
        <w:fldChar w:fldCharType="end"/>
      </w:r>
      <w:bookmarkEnd w:id="7"/>
      <w:r>
        <w:t>. Some typical parameters for V2X using LTE SL.</w:t>
      </w:r>
    </w:p>
    <w:tbl>
      <w:tblPr>
        <w:tblStyle w:val="TableGrid"/>
        <w:tblW w:w="0" w:type="auto"/>
        <w:jc w:val="center"/>
        <w:tblLook w:val="04A0" w:firstRow="1" w:lastRow="0" w:firstColumn="1" w:lastColumn="0" w:noHBand="0" w:noVBand="1"/>
      </w:tblPr>
      <w:tblGrid>
        <w:gridCol w:w="1639"/>
        <w:gridCol w:w="3081"/>
        <w:gridCol w:w="4635"/>
      </w:tblGrid>
      <w:tr w:rsidR="004E283D" w14:paraId="62DCD7ED" w14:textId="77777777" w:rsidTr="00BA483E">
        <w:trPr>
          <w:jc w:val="center"/>
        </w:trPr>
        <w:tc>
          <w:tcPr>
            <w:tcW w:w="1639" w:type="dxa"/>
          </w:tcPr>
          <w:p w14:paraId="1E00B6AD" w14:textId="77777777" w:rsidR="004E283D" w:rsidRPr="00F32AE9" w:rsidRDefault="004E283D" w:rsidP="00BA483E">
            <w:pPr>
              <w:jc w:val="center"/>
              <w:rPr>
                <w:rFonts w:cs="Arial"/>
                <w:b/>
                <w:bCs/>
                <w:sz w:val="20"/>
                <w:szCs w:val="20"/>
                <w:lang w:val="en-GB" w:eastAsia="ja-JP"/>
              </w:rPr>
            </w:pPr>
            <w:r w:rsidRPr="00F32AE9">
              <w:rPr>
                <w:rFonts w:cs="Arial"/>
                <w:b/>
                <w:bCs/>
                <w:sz w:val="20"/>
                <w:szCs w:val="20"/>
                <w:lang w:val="en-GB" w:eastAsia="ja-JP"/>
              </w:rPr>
              <w:t>Parameter</w:t>
            </w:r>
          </w:p>
        </w:tc>
        <w:tc>
          <w:tcPr>
            <w:tcW w:w="3081" w:type="dxa"/>
          </w:tcPr>
          <w:p w14:paraId="1C6CD0E8" w14:textId="77777777" w:rsidR="004E283D" w:rsidRPr="00F32AE9" w:rsidRDefault="004E283D" w:rsidP="00BA483E">
            <w:pPr>
              <w:jc w:val="center"/>
              <w:rPr>
                <w:rFonts w:cs="Arial"/>
                <w:b/>
                <w:bCs/>
                <w:sz w:val="20"/>
                <w:szCs w:val="20"/>
                <w:lang w:val="en-GB" w:eastAsia="ja-JP"/>
              </w:rPr>
            </w:pPr>
            <w:r w:rsidRPr="00F32AE9">
              <w:rPr>
                <w:rFonts w:cs="Arial"/>
                <w:b/>
                <w:bCs/>
                <w:sz w:val="20"/>
                <w:szCs w:val="20"/>
                <w:lang w:val="en-GB" w:eastAsia="ja-JP"/>
              </w:rPr>
              <w:t>Value</w:t>
            </w:r>
          </w:p>
        </w:tc>
        <w:tc>
          <w:tcPr>
            <w:tcW w:w="4635" w:type="dxa"/>
          </w:tcPr>
          <w:p w14:paraId="159727C1" w14:textId="77777777" w:rsidR="004E283D" w:rsidRPr="00F32AE9" w:rsidRDefault="004E283D" w:rsidP="00BA483E">
            <w:pPr>
              <w:jc w:val="center"/>
              <w:rPr>
                <w:rFonts w:cs="Arial"/>
                <w:b/>
                <w:bCs/>
                <w:sz w:val="20"/>
                <w:szCs w:val="20"/>
                <w:lang w:val="en-GB" w:eastAsia="ja-JP"/>
              </w:rPr>
            </w:pPr>
            <w:r w:rsidRPr="00F32AE9">
              <w:rPr>
                <w:rFonts w:cs="Arial"/>
                <w:b/>
                <w:bCs/>
                <w:sz w:val="20"/>
                <w:szCs w:val="20"/>
                <w:lang w:val="en-GB" w:eastAsia="ja-JP"/>
              </w:rPr>
              <w:t>Notes</w:t>
            </w:r>
          </w:p>
        </w:tc>
      </w:tr>
      <w:tr w:rsidR="004E283D" w14:paraId="6946EC24" w14:textId="77777777" w:rsidTr="00BA483E">
        <w:trPr>
          <w:jc w:val="center"/>
        </w:trPr>
        <w:tc>
          <w:tcPr>
            <w:tcW w:w="1639" w:type="dxa"/>
          </w:tcPr>
          <w:p w14:paraId="4D547D82" w14:textId="77777777" w:rsidR="004E283D" w:rsidRPr="00F32AE9" w:rsidRDefault="004E283D" w:rsidP="008C7E87">
            <w:pPr>
              <w:rPr>
                <w:rFonts w:cs="Arial"/>
                <w:b/>
                <w:bCs/>
                <w:sz w:val="20"/>
                <w:szCs w:val="20"/>
                <w:lang w:val="en-GB" w:eastAsia="ja-JP"/>
              </w:rPr>
            </w:pPr>
            <w:r w:rsidRPr="00F32AE9">
              <w:rPr>
                <w:rFonts w:cs="Arial"/>
                <w:b/>
                <w:bCs/>
                <w:sz w:val="20"/>
                <w:szCs w:val="20"/>
                <w:lang w:val="en-GB" w:eastAsia="ja-JP"/>
              </w:rPr>
              <w:t>Bandwidth</w:t>
            </w:r>
          </w:p>
        </w:tc>
        <w:tc>
          <w:tcPr>
            <w:tcW w:w="3081" w:type="dxa"/>
          </w:tcPr>
          <w:p w14:paraId="3D5FB8F9" w14:textId="77777777" w:rsidR="004E283D" w:rsidRPr="00F32AE9" w:rsidRDefault="004E283D" w:rsidP="008C7E87">
            <w:pPr>
              <w:rPr>
                <w:rFonts w:cs="Arial"/>
                <w:sz w:val="20"/>
                <w:szCs w:val="20"/>
                <w:lang w:val="en-GB" w:eastAsia="ja-JP"/>
              </w:rPr>
            </w:pPr>
            <w:r w:rsidRPr="00F32AE9">
              <w:rPr>
                <w:rFonts w:cs="Arial"/>
                <w:sz w:val="20"/>
                <w:szCs w:val="20"/>
                <w:lang w:val="en-GB" w:eastAsia="ja-JP"/>
              </w:rPr>
              <w:t>10 MHz (50 RBs)</w:t>
            </w:r>
          </w:p>
        </w:tc>
        <w:tc>
          <w:tcPr>
            <w:tcW w:w="4635" w:type="dxa"/>
          </w:tcPr>
          <w:p w14:paraId="1C47ECA5" w14:textId="77777777" w:rsidR="004E283D" w:rsidRPr="00F32AE9" w:rsidRDefault="004E283D" w:rsidP="008C7E87">
            <w:pPr>
              <w:rPr>
                <w:rFonts w:cs="Arial"/>
                <w:sz w:val="20"/>
                <w:szCs w:val="20"/>
                <w:lang w:val="en-GB" w:eastAsia="ja-JP"/>
              </w:rPr>
            </w:pPr>
            <w:r w:rsidRPr="00F32AE9">
              <w:rPr>
                <w:rFonts w:cs="Arial"/>
                <w:sz w:val="20"/>
                <w:szCs w:val="20"/>
                <w:lang w:val="en-GB" w:eastAsia="ja-JP"/>
              </w:rPr>
              <w:t>Based on regulations</w:t>
            </w:r>
          </w:p>
          <w:p w14:paraId="0E4E34A9" w14:textId="77777777" w:rsidR="004E283D" w:rsidRPr="00F32AE9" w:rsidRDefault="004E283D" w:rsidP="008C7E87">
            <w:pPr>
              <w:rPr>
                <w:rFonts w:cs="Arial"/>
                <w:sz w:val="20"/>
                <w:szCs w:val="20"/>
                <w:lang w:val="en-GB" w:eastAsia="ja-JP"/>
              </w:rPr>
            </w:pPr>
            <w:r w:rsidRPr="00F32AE9">
              <w:rPr>
                <w:rFonts w:cs="Arial"/>
                <w:sz w:val="20"/>
                <w:szCs w:val="20"/>
                <w:lang w:val="en-GB" w:eastAsia="ja-JP"/>
              </w:rPr>
              <w:t>20 MHz cannot be excluded, but it is less likely</w:t>
            </w:r>
          </w:p>
        </w:tc>
      </w:tr>
      <w:tr w:rsidR="004E283D" w14:paraId="3FC81508" w14:textId="77777777" w:rsidTr="00BA483E">
        <w:trPr>
          <w:jc w:val="center"/>
        </w:trPr>
        <w:tc>
          <w:tcPr>
            <w:tcW w:w="1639" w:type="dxa"/>
          </w:tcPr>
          <w:p w14:paraId="60DE1C7C" w14:textId="77777777" w:rsidR="004E283D" w:rsidRPr="00F32AE9" w:rsidRDefault="004E283D" w:rsidP="008C7E87">
            <w:pPr>
              <w:rPr>
                <w:rFonts w:cs="Arial"/>
                <w:b/>
                <w:bCs/>
                <w:sz w:val="20"/>
                <w:szCs w:val="20"/>
                <w:lang w:val="en-GB" w:eastAsia="ja-JP"/>
              </w:rPr>
            </w:pPr>
            <w:r w:rsidRPr="00F32AE9">
              <w:rPr>
                <w:rFonts w:cs="Arial"/>
                <w:b/>
                <w:bCs/>
                <w:sz w:val="20"/>
                <w:szCs w:val="20"/>
                <w:lang w:val="en-GB" w:eastAsia="ja-JP"/>
              </w:rPr>
              <w:t>SCS</w:t>
            </w:r>
          </w:p>
        </w:tc>
        <w:tc>
          <w:tcPr>
            <w:tcW w:w="3081" w:type="dxa"/>
          </w:tcPr>
          <w:p w14:paraId="43F7A11B" w14:textId="77777777" w:rsidR="004E283D" w:rsidRPr="00F32AE9" w:rsidRDefault="004E283D" w:rsidP="008C7E87">
            <w:pPr>
              <w:rPr>
                <w:rFonts w:cs="Arial"/>
                <w:sz w:val="20"/>
                <w:szCs w:val="20"/>
                <w:lang w:val="en-GB" w:eastAsia="ja-JP"/>
              </w:rPr>
            </w:pPr>
            <w:r w:rsidRPr="00F32AE9">
              <w:rPr>
                <w:rFonts w:cs="Arial"/>
                <w:sz w:val="20"/>
                <w:szCs w:val="20"/>
                <w:lang w:val="en-GB" w:eastAsia="ja-JP"/>
              </w:rPr>
              <w:t>15 kHz</w:t>
            </w:r>
          </w:p>
        </w:tc>
        <w:tc>
          <w:tcPr>
            <w:tcW w:w="4635" w:type="dxa"/>
          </w:tcPr>
          <w:p w14:paraId="0DEC5D68" w14:textId="77777777" w:rsidR="004E283D" w:rsidRPr="00F32AE9" w:rsidRDefault="004E283D" w:rsidP="008C7E87">
            <w:pPr>
              <w:rPr>
                <w:rFonts w:cs="Arial"/>
                <w:sz w:val="20"/>
                <w:szCs w:val="20"/>
                <w:lang w:val="en-GB" w:eastAsia="ja-JP"/>
              </w:rPr>
            </w:pPr>
            <w:r w:rsidRPr="00F32AE9">
              <w:rPr>
                <w:rFonts w:cs="Arial"/>
                <w:sz w:val="20"/>
                <w:szCs w:val="20"/>
                <w:lang w:val="en-GB" w:eastAsia="ja-JP"/>
              </w:rPr>
              <w:t>Only supported value</w:t>
            </w:r>
          </w:p>
        </w:tc>
      </w:tr>
      <w:tr w:rsidR="004E283D" w14:paraId="247EC635" w14:textId="77777777" w:rsidTr="00BA483E">
        <w:trPr>
          <w:jc w:val="center"/>
        </w:trPr>
        <w:tc>
          <w:tcPr>
            <w:tcW w:w="1639" w:type="dxa"/>
          </w:tcPr>
          <w:p w14:paraId="79DB9ADC" w14:textId="77777777" w:rsidR="004E283D" w:rsidRPr="00F32AE9" w:rsidRDefault="004E283D" w:rsidP="008C7E87">
            <w:pPr>
              <w:rPr>
                <w:rFonts w:cs="Arial"/>
                <w:b/>
                <w:bCs/>
                <w:sz w:val="20"/>
                <w:szCs w:val="20"/>
                <w:lang w:val="en-GB" w:eastAsia="ja-JP"/>
              </w:rPr>
            </w:pPr>
            <w:r w:rsidRPr="00F32AE9">
              <w:rPr>
                <w:rFonts w:cs="Arial"/>
                <w:b/>
                <w:bCs/>
                <w:sz w:val="20"/>
                <w:szCs w:val="20"/>
                <w:lang w:val="en-GB" w:eastAsia="ja-JP"/>
              </w:rPr>
              <w:t>Sub-channels</w:t>
            </w:r>
          </w:p>
        </w:tc>
        <w:tc>
          <w:tcPr>
            <w:tcW w:w="3081" w:type="dxa"/>
          </w:tcPr>
          <w:p w14:paraId="78D0EAA5" w14:textId="77777777" w:rsidR="004E283D" w:rsidRPr="00F32AE9" w:rsidRDefault="004E283D" w:rsidP="00BA483E">
            <w:pPr>
              <w:spacing w:after="0"/>
              <w:rPr>
                <w:rFonts w:cs="Arial"/>
                <w:sz w:val="20"/>
                <w:szCs w:val="20"/>
                <w:lang w:val="en-GB" w:eastAsia="ja-JP"/>
              </w:rPr>
            </w:pPr>
            <w:r w:rsidRPr="00F32AE9">
              <w:rPr>
                <w:rFonts w:cs="Arial"/>
                <w:sz w:val="20"/>
                <w:szCs w:val="20"/>
                <w:lang w:val="en-GB" w:eastAsia="ja-JP"/>
              </w:rPr>
              <w:t xml:space="preserve">4 </w:t>
            </w:r>
            <w:r>
              <w:rPr>
                <w:rFonts w:cs="Arial"/>
                <w:sz w:val="20"/>
                <w:szCs w:val="20"/>
                <w:lang w:val="en-GB" w:eastAsia="ja-JP"/>
              </w:rPr>
              <w:t xml:space="preserve">sub-channels </w:t>
            </w:r>
            <w:r w:rsidRPr="00AA613D">
              <w:rPr>
                <w:rFonts w:cs="Arial"/>
                <w:sz w:val="20"/>
                <w:szCs w:val="20"/>
                <w:lang w:val="en-GB" w:eastAsia="ja-JP"/>
              </w:rPr>
              <w:t>(12 RBs each)</w:t>
            </w:r>
          </w:p>
          <w:p w14:paraId="01C6BE8C" w14:textId="77777777" w:rsidR="004E283D" w:rsidRPr="00F32AE9" w:rsidRDefault="004E283D" w:rsidP="00A45730">
            <w:pPr>
              <w:pStyle w:val="ListParagraph"/>
              <w:numPr>
                <w:ilvl w:val="0"/>
                <w:numId w:val="28"/>
              </w:numPr>
              <w:rPr>
                <w:rFonts w:ascii="Arial" w:hAnsi="Arial" w:cs="Arial"/>
                <w:sz w:val="20"/>
                <w:szCs w:val="20"/>
                <w:lang w:val="en-GB" w:eastAsia="ja-JP"/>
              </w:rPr>
            </w:pPr>
            <w:r w:rsidRPr="00F32AE9">
              <w:rPr>
                <w:rFonts w:ascii="Arial" w:hAnsi="Arial" w:cs="Arial"/>
                <w:sz w:val="20"/>
                <w:szCs w:val="20"/>
                <w:lang w:val="en-GB" w:eastAsia="ja-JP"/>
              </w:rPr>
              <w:t xml:space="preserve">PSSCH: 10 RBs </w:t>
            </w:r>
          </w:p>
          <w:p w14:paraId="4088A50D" w14:textId="77777777" w:rsidR="004E283D" w:rsidRPr="00F32AE9" w:rsidRDefault="004E283D" w:rsidP="00A45730">
            <w:pPr>
              <w:pStyle w:val="ListParagraph"/>
              <w:numPr>
                <w:ilvl w:val="0"/>
                <w:numId w:val="28"/>
              </w:numPr>
              <w:rPr>
                <w:rFonts w:ascii="Arial" w:hAnsi="Arial" w:cs="Arial"/>
                <w:sz w:val="20"/>
                <w:szCs w:val="20"/>
                <w:lang w:val="en-GB" w:eastAsia="ja-JP"/>
              </w:rPr>
            </w:pPr>
            <w:r w:rsidRPr="00F32AE9">
              <w:rPr>
                <w:rFonts w:ascii="Arial" w:hAnsi="Arial" w:cs="Arial"/>
                <w:sz w:val="20"/>
                <w:szCs w:val="20"/>
                <w:lang w:val="en-GB" w:eastAsia="ja-JP"/>
              </w:rPr>
              <w:t>PSCCH: 2 RBs</w:t>
            </w:r>
          </w:p>
        </w:tc>
        <w:tc>
          <w:tcPr>
            <w:tcW w:w="4635" w:type="dxa"/>
          </w:tcPr>
          <w:p w14:paraId="5530B34C" w14:textId="77777777" w:rsidR="004E283D" w:rsidRPr="00F32AE9" w:rsidRDefault="004E283D" w:rsidP="00BA483E">
            <w:pPr>
              <w:spacing w:after="0"/>
              <w:rPr>
                <w:rFonts w:cs="Arial"/>
                <w:sz w:val="20"/>
                <w:szCs w:val="20"/>
                <w:lang w:val="en-GB" w:eastAsia="ja-JP"/>
              </w:rPr>
            </w:pPr>
            <w:r w:rsidRPr="00F32AE9">
              <w:rPr>
                <w:rFonts w:cs="Arial"/>
                <w:sz w:val="20"/>
                <w:szCs w:val="20"/>
                <w:lang w:val="en-GB" w:eastAsia="ja-JP"/>
              </w:rPr>
              <w:t>MCS for 190-bytes packets:</w:t>
            </w:r>
          </w:p>
          <w:p w14:paraId="485B57B4" w14:textId="77777777" w:rsidR="004E283D" w:rsidRPr="00F32AE9" w:rsidRDefault="004E283D" w:rsidP="00A45730">
            <w:pPr>
              <w:pStyle w:val="ListParagraph"/>
              <w:numPr>
                <w:ilvl w:val="0"/>
                <w:numId w:val="27"/>
              </w:numPr>
              <w:rPr>
                <w:rFonts w:ascii="Arial" w:hAnsi="Arial" w:cs="Arial"/>
                <w:sz w:val="20"/>
                <w:szCs w:val="20"/>
                <w:lang w:val="en-GB" w:eastAsia="ja-JP"/>
              </w:rPr>
            </w:pPr>
            <w:r w:rsidRPr="00F32AE9">
              <w:rPr>
                <w:rFonts w:ascii="Arial" w:hAnsi="Arial" w:cs="Arial"/>
                <w:sz w:val="20"/>
                <w:szCs w:val="20"/>
                <w:lang w:val="en-GB" w:eastAsia="ja-JP"/>
              </w:rPr>
              <w:t>QPSK + R=0.79</w:t>
            </w:r>
          </w:p>
          <w:p w14:paraId="73408036" w14:textId="77777777" w:rsidR="004E283D" w:rsidRPr="00F32AE9" w:rsidRDefault="004E283D" w:rsidP="00A45730">
            <w:pPr>
              <w:pStyle w:val="ListParagraph"/>
              <w:numPr>
                <w:ilvl w:val="0"/>
                <w:numId w:val="27"/>
              </w:numPr>
              <w:rPr>
                <w:rFonts w:ascii="Arial" w:hAnsi="Arial" w:cs="Arial"/>
                <w:sz w:val="20"/>
                <w:szCs w:val="20"/>
                <w:lang w:val="en-GB" w:eastAsia="ja-JP"/>
              </w:rPr>
            </w:pPr>
            <w:r w:rsidRPr="00F32AE9">
              <w:rPr>
                <w:rFonts w:ascii="Arial" w:hAnsi="Arial" w:cs="Arial"/>
                <w:sz w:val="20"/>
                <w:szCs w:val="20"/>
                <w:lang w:val="en-GB" w:eastAsia="ja-JP"/>
              </w:rPr>
              <w:t>16QAM + R=0.53</w:t>
            </w:r>
          </w:p>
          <w:p w14:paraId="0C838012" w14:textId="77777777" w:rsidR="004E283D" w:rsidRPr="00F32AE9" w:rsidRDefault="004E283D" w:rsidP="00BA483E">
            <w:pPr>
              <w:spacing w:before="240" w:after="0"/>
              <w:jc w:val="both"/>
              <w:rPr>
                <w:rFonts w:cs="Arial"/>
                <w:sz w:val="20"/>
                <w:szCs w:val="20"/>
                <w:lang w:val="en-GB" w:eastAsia="ja-JP"/>
              </w:rPr>
            </w:pPr>
            <w:r w:rsidRPr="00F32AE9">
              <w:rPr>
                <w:rFonts w:cs="Arial"/>
                <w:sz w:val="20"/>
                <w:szCs w:val="20"/>
                <w:lang w:val="en-GB" w:eastAsia="ja-JP"/>
              </w:rPr>
              <w:t>MCS for 300-byte packets:</w:t>
            </w:r>
          </w:p>
          <w:p w14:paraId="2BD4EE1C" w14:textId="77777777" w:rsidR="004E283D" w:rsidRPr="00F32AE9" w:rsidRDefault="004E283D" w:rsidP="00A45730">
            <w:pPr>
              <w:pStyle w:val="ListParagraph"/>
              <w:numPr>
                <w:ilvl w:val="0"/>
                <w:numId w:val="27"/>
              </w:numPr>
              <w:rPr>
                <w:rFonts w:ascii="Arial" w:hAnsi="Arial" w:cs="Arial"/>
                <w:sz w:val="20"/>
                <w:szCs w:val="20"/>
                <w:lang w:val="en-GB" w:eastAsia="ja-JP"/>
              </w:rPr>
            </w:pPr>
            <w:r w:rsidRPr="00F32AE9">
              <w:rPr>
                <w:rFonts w:ascii="Arial" w:hAnsi="Arial" w:cs="Arial"/>
                <w:sz w:val="20"/>
                <w:szCs w:val="20"/>
                <w:lang w:val="en-GB" w:eastAsia="ja-JP"/>
              </w:rPr>
              <w:t>QPSK + R&gt;1</w:t>
            </w:r>
            <w:r>
              <w:rPr>
                <w:rFonts w:ascii="Arial" w:hAnsi="Arial" w:cs="Arial"/>
                <w:sz w:val="20"/>
                <w:szCs w:val="20"/>
                <w:lang w:val="en-GB" w:eastAsia="ja-JP"/>
              </w:rPr>
              <w:t xml:space="preserve"> – Requires 2 sub-channels</w:t>
            </w:r>
          </w:p>
          <w:p w14:paraId="22BF6B29" w14:textId="77777777" w:rsidR="004E283D" w:rsidRPr="00F32AE9" w:rsidRDefault="004E283D" w:rsidP="00A45730">
            <w:pPr>
              <w:pStyle w:val="ListParagraph"/>
              <w:numPr>
                <w:ilvl w:val="0"/>
                <w:numId w:val="27"/>
              </w:numPr>
              <w:rPr>
                <w:rFonts w:ascii="Arial" w:hAnsi="Arial" w:cs="Arial"/>
                <w:sz w:val="20"/>
                <w:szCs w:val="20"/>
                <w:lang w:val="en-GB" w:eastAsia="ja-JP"/>
              </w:rPr>
            </w:pPr>
            <w:r w:rsidRPr="00F32AE9">
              <w:rPr>
                <w:rFonts w:ascii="Arial" w:hAnsi="Arial" w:cs="Arial"/>
                <w:sz w:val="20"/>
                <w:szCs w:val="20"/>
                <w:lang w:val="en-GB" w:eastAsia="ja-JP"/>
              </w:rPr>
              <w:t>16QAM + R=0.63</w:t>
            </w:r>
          </w:p>
        </w:tc>
      </w:tr>
    </w:tbl>
    <w:p w14:paraId="000A8FD2" w14:textId="77777777" w:rsidR="004E283D" w:rsidRPr="00D21F59" w:rsidRDefault="004E283D" w:rsidP="000E24F9">
      <w:pPr>
        <w:spacing w:before="240"/>
        <w:jc w:val="both"/>
        <w:rPr>
          <w:rFonts w:cs="Arial"/>
          <w:szCs w:val="20"/>
          <w:lang w:val="en-GB" w:eastAsia="ja-JP"/>
        </w:rPr>
      </w:pPr>
      <w:r>
        <w:rPr>
          <w:lang w:val="en-GB" w:eastAsia="ja-JP"/>
        </w:rPr>
        <w:t xml:space="preserve">NR SL has </w:t>
      </w:r>
      <w:r w:rsidRPr="00AF7C00">
        <w:rPr>
          <w:rFonts w:cs="Arial"/>
          <w:szCs w:val="20"/>
          <w:lang w:val="en-GB" w:eastAsia="ja-JP"/>
        </w:rPr>
        <w:t>significantly many more configurable opti</w:t>
      </w:r>
      <w:r w:rsidRPr="00F23499">
        <w:rPr>
          <w:rFonts w:cs="Arial"/>
          <w:szCs w:val="20"/>
          <w:lang w:val="en-GB" w:eastAsia="ja-JP"/>
        </w:rPr>
        <w:t xml:space="preserve">ons than LTE SL. However, </w:t>
      </w:r>
      <w:r w:rsidRPr="00F45384">
        <w:rPr>
          <w:rFonts w:cs="Arial"/>
          <w:szCs w:val="20"/>
          <w:lang w:val="en-GB" w:eastAsia="ja-JP"/>
        </w:rPr>
        <w:t xml:space="preserve">if the spectrum is shared with </w:t>
      </w:r>
      <w:r w:rsidRPr="00D21F59">
        <w:rPr>
          <w:rFonts w:cs="Arial"/>
          <w:szCs w:val="20"/>
          <w:lang w:val="en-GB" w:eastAsia="ja-JP"/>
        </w:rPr>
        <w:t>LTE SL, for some parameters the possible values will be restricted. For example:</w:t>
      </w:r>
    </w:p>
    <w:p w14:paraId="303C109B" w14:textId="4E52A9D5" w:rsidR="004E283D" w:rsidRPr="006D3C75" w:rsidRDefault="00666A12" w:rsidP="00A45730">
      <w:pPr>
        <w:pStyle w:val="ListParagraph"/>
        <w:numPr>
          <w:ilvl w:val="0"/>
          <w:numId w:val="29"/>
        </w:numPr>
        <w:jc w:val="both"/>
        <w:rPr>
          <w:rFonts w:ascii="Arial" w:hAnsi="Arial" w:cs="Arial"/>
          <w:sz w:val="20"/>
          <w:szCs w:val="20"/>
          <w:lang w:val="en-GB" w:eastAsia="ja-JP"/>
        </w:rPr>
      </w:pPr>
      <w:r>
        <w:rPr>
          <w:rFonts w:ascii="Arial" w:hAnsi="Arial" w:cs="Arial"/>
          <w:sz w:val="20"/>
          <w:szCs w:val="20"/>
          <w:lang w:val="en-GB" w:eastAsia="ja-JP"/>
        </w:rPr>
        <w:t>Sub-carrier spacing (</w:t>
      </w:r>
      <w:r w:rsidR="004E283D" w:rsidRPr="006D3C75">
        <w:rPr>
          <w:rFonts w:ascii="Arial" w:hAnsi="Arial" w:cs="Arial"/>
          <w:sz w:val="20"/>
          <w:szCs w:val="20"/>
          <w:lang w:val="en-GB" w:eastAsia="ja-JP"/>
        </w:rPr>
        <w:t>SCS</w:t>
      </w:r>
      <w:r>
        <w:rPr>
          <w:rFonts w:ascii="Arial" w:hAnsi="Arial" w:cs="Arial"/>
          <w:sz w:val="20"/>
          <w:szCs w:val="20"/>
          <w:lang w:val="en-GB" w:eastAsia="ja-JP"/>
        </w:rPr>
        <w:t>):</w:t>
      </w:r>
      <w:r w:rsidR="004E283D" w:rsidRPr="006D3C75">
        <w:rPr>
          <w:rFonts w:ascii="Arial" w:hAnsi="Arial" w:cs="Arial"/>
          <w:sz w:val="20"/>
          <w:szCs w:val="20"/>
          <w:lang w:val="en-GB" w:eastAsia="ja-JP"/>
        </w:rPr>
        <w:t xml:space="preserve"> NR SL should use the same SCS as LTE SL. Otherwise, NR SL would start/end in the middle of an LTE SL subframe, creating large RX power variations and issues at the AGC of the LTE RX UEs.</w:t>
      </w:r>
    </w:p>
    <w:p w14:paraId="0B55CF53" w14:textId="544A4065" w:rsidR="004E283D" w:rsidRPr="006D3C75" w:rsidRDefault="004E283D" w:rsidP="00A45730">
      <w:pPr>
        <w:pStyle w:val="ListParagraph"/>
        <w:numPr>
          <w:ilvl w:val="0"/>
          <w:numId w:val="29"/>
        </w:numPr>
        <w:jc w:val="both"/>
        <w:rPr>
          <w:rFonts w:ascii="Arial" w:hAnsi="Arial" w:cs="Arial"/>
          <w:sz w:val="20"/>
          <w:szCs w:val="20"/>
          <w:lang w:val="en-GB" w:eastAsia="ja-JP"/>
        </w:rPr>
      </w:pPr>
      <w:r w:rsidRPr="006D3C75">
        <w:rPr>
          <w:rFonts w:ascii="Arial" w:hAnsi="Arial" w:cs="Arial"/>
          <w:sz w:val="20"/>
          <w:szCs w:val="20"/>
          <w:lang w:val="en-GB" w:eastAsia="ja-JP"/>
        </w:rPr>
        <w:t>PSFCH periodicity</w:t>
      </w:r>
      <w:r w:rsidR="00666A12">
        <w:rPr>
          <w:rFonts w:ascii="Arial" w:hAnsi="Arial" w:cs="Arial"/>
          <w:sz w:val="20"/>
          <w:szCs w:val="20"/>
          <w:lang w:val="en-GB" w:eastAsia="ja-JP"/>
        </w:rPr>
        <w:t>:</w:t>
      </w:r>
      <w:r w:rsidRPr="006D3C75">
        <w:rPr>
          <w:rFonts w:ascii="Arial" w:hAnsi="Arial" w:cs="Arial"/>
          <w:sz w:val="20"/>
          <w:szCs w:val="20"/>
          <w:lang w:val="en-GB" w:eastAsia="ja-JP"/>
        </w:rPr>
        <w:t xml:space="preserve"> In PSFCH slots, NR SL transmissions start/end in the middle of an LTE SL subframe, creating large RX power variations and issues at the AGC of the LTE RX UEs. Such impairments should be avoided or, at least, minimized. In practice this means that </w:t>
      </w:r>
      <m:oMath>
        <m:sSubSup>
          <m:sSubSupPr>
            <m:ctrlPr>
              <w:rPr>
                <w:rFonts w:ascii="Cambria Math" w:hAnsi="Cambria Math" w:cs="Arial"/>
                <w:i/>
                <w:sz w:val="20"/>
                <w:szCs w:val="20"/>
              </w:rPr>
            </m:ctrlPr>
          </m:sSubSupPr>
          <m:e>
            <m:r>
              <w:rPr>
                <w:rFonts w:ascii="Cambria Math" w:hAnsi="Cambria Math" w:cs="Arial"/>
                <w:sz w:val="20"/>
                <w:szCs w:val="20"/>
              </w:rPr>
              <m:t>N</m:t>
            </m:r>
          </m:e>
          <m:sub>
            <m:r>
              <m:rPr>
                <m:nor/>
              </m:rPr>
              <w:rPr>
                <w:rFonts w:ascii="Arial" w:hAnsi="Arial" w:cs="Arial"/>
                <w:sz w:val="20"/>
                <w:szCs w:val="20"/>
              </w:rPr>
              <m:t>PSSCH</m:t>
            </m:r>
            <m:ctrlPr>
              <w:rPr>
                <w:rFonts w:ascii="Cambria Math" w:hAnsi="Cambria Math" w:cs="Arial"/>
                <w:sz w:val="20"/>
                <w:szCs w:val="20"/>
              </w:rPr>
            </m:ctrlPr>
          </m:sub>
          <m:sup>
            <m:r>
              <m:rPr>
                <m:nor/>
              </m:rPr>
              <w:rPr>
                <w:rFonts w:ascii="Arial" w:hAnsi="Arial" w:cs="Arial"/>
                <w:sz w:val="20"/>
                <w:szCs w:val="20"/>
              </w:rPr>
              <m:t>PSFCH</m:t>
            </m:r>
            <m:ctrlPr>
              <w:rPr>
                <w:rFonts w:ascii="Cambria Math" w:hAnsi="Cambria Math" w:cs="Arial"/>
                <w:sz w:val="20"/>
                <w:szCs w:val="20"/>
              </w:rPr>
            </m:ctrlPr>
          </m:sup>
        </m:sSubSup>
        <m:r>
          <w:rPr>
            <w:rFonts w:ascii="Cambria Math" w:hAnsi="Cambria Math" w:cs="Arial"/>
            <w:sz w:val="20"/>
            <w:szCs w:val="20"/>
            <w:lang w:val="en-GB"/>
          </w:rPr>
          <m:t>=2</m:t>
        </m:r>
      </m:oMath>
      <w:r w:rsidRPr="006D3C75">
        <w:rPr>
          <w:rFonts w:ascii="Arial" w:hAnsi="Arial" w:cs="Arial"/>
          <w:sz w:val="20"/>
          <w:szCs w:val="20"/>
          <w:lang w:val="en-GB"/>
        </w:rPr>
        <w:t xml:space="preserve"> or </w:t>
      </w:r>
      <m:oMath>
        <m:sSubSup>
          <m:sSubSupPr>
            <m:ctrlPr>
              <w:rPr>
                <w:rFonts w:ascii="Cambria Math" w:hAnsi="Cambria Math" w:cs="Arial"/>
                <w:i/>
                <w:sz w:val="20"/>
                <w:szCs w:val="20"/>
              </w:rPr>
            </m:ctrlPr>
          </m:sSubSupPr>
          <m:e>
            <m:r>
              <w:rPr>
                <w:rFonts w:ascii="Cambria Math" w:hAnsi="Cambria Math" w:cs="Arial"/>
                <w:sz w:val="20"/>
                <w:szCs w:val="20"/>
              </w:rPr>
              <m:t>N</m:t>
            </m:r>
          </m:e>
          <m:sub>
            <m:r>
              <m:rPr>
                <m:nor/>
              </m:rPr>
              <w:rPr>
                <w:rFonts w:ascii="Arial" w:hAnsi="Arial" w:cs="Arial"/>
                <w:sz w:val="20"/>
                <w:szCs w:val="20"/>
              </w:rPr>
              <m:t>PSSCH</m:t>
            </m:r>
            <m:ctrlPr>
              <w:rPr>
                <w:rFonts w:ascii="Cambria Math" w:hAnsi="Cambria Math" w:cs="Arial"/>
                <w:sz w:val="20"/>
                <w:szCs w:val="20"/>
              </w:rPr>
            </m:ctrlPr>
          </m:sub>
          <m:sup>
            <m:r>
              <m:rPr>
                <m:nor/>
              </m:rPr>
              <w:rPr>
                <w:rFonts w:ascii="Arial" w:hAnsi="Arial" w:cs="Arial"/>
                <w:sz w:val="20"/>
                <w:szCs w:val="20"/>
              </w:rPr>
              <m:t>PSFCH</m:t>
            </m:r>
            <m:ctrlPr>
              <w:rPr>
                <w:rFonts w:ascii="Cambria Math" w:hAnsi="Cambria Math" w:cs="Arial"/>
                <w:sz w:val="20"/>
                <w:szCs w:val="20"/>
              </w:rPr>
            </m:ctrlPr>
          </m:sup>
        </m:sSubSup>
        <m:r>
          <w:rPr>
            <w:rFonts w:ascii="Cambria Math" w:hAnsi="Cambria Math" w:cs="Arial"/>
            <w:sz w:val="20"/>
            <w:szCs w:val="20"/>
          </w:rPr>
          <m:t>=4</m:t>
        </m:r>
      </m:oMath>
      <w:r w:rsidRPr="006D3C75">
        <w:rPr>
          <w:rFonts w:ascii="Arial" w:hAnsi="Arial" w:cs="Arial"/>
          <w:sz w:val="20"/>
          <w:szCs w:val="20"/>
          <w:lang w:val="en-GB"/>
        </w:rPr>
        <w:t xml:space="preserve"> </w:t>
      </w:r>
      <w:r w:rsidRPr="00AF7C00">
        <w:rPr>
          <w:rFonts w:ascii="Arial" w:hAnsi="Arial" w:cs="Arial"/>
          <w:sz w:val="20"/>
          <w:szCs w:val="20"/>
          <w:lang w:val="en-GB"/>
        </w:rPr>
        <w:t>should be c</w:t>
      </w:r>
      <w:r w:rsidRPr="00F23499">
        <w:rPr>
          <w:rFonts w:ascii="Arial" w:hAnsi="Arial" w:cs="Arial"/>
          <w:sz w:val="20"/>
          <w:szCs w:val="20"/>
          <w:lang w:val="en-GB"/>
        </w:rPr>
        <w:t>onfigured.</w:t>
      </w:r>
    </w:p>
    <w:p w14:paraId="5DA2E791" w14:textId="77777777" w:rsidR="004E283D" w:rsidRDefault="004E283D" w:rsidP="00C1622D">
      <w:pPr>
        <w:spacing w:before="240"/>
        <w:jc w:val="both"/>
        <w:rPr>
          <w:lang w:val="en-GB" w:eastAsia="ja-JP"/>
        </w:rPr>
      </w:pPr>
      <w:r w:rsidRPr="00AF7C00">
        <w:rPr>
          <w:rFonts w:cs="Arial"/>
          <w:szCs w:val="20"/>
          <w:lang w:val="en-GB" w:eastAsia="ja-JP"/>
        </w:rPr>
        <w:t>The preceding discussion is relevant for TDM as we</w:t>
      </w:r>
      <w:r w:rsidRPr="00F23499">
        <w:rPr>
          <w:rFonts w:cs="Arial"/>
          <w:szCs w:val="20"/>
          <w:lang w:val="en-GB" w:eastAsia="ja-JP"/>
        </w:rPr>
        <w:t>ll</w:t>
      </w:r>
      <w:r>
        <w:rPr>
          <w:lang w:val="en-GB" w:eastAsia="ja-JP"/>
        </w:rPr>
        <w:t xml:space="preserve"> as FDM, especially if the frequency gap between NR and LTE is small.</w:t>
      </w:r>
    </w:p>
    <w:p w14:paraId="4D9A9026" w14:textId="77777777" w:rsidR="004E283D" w:rsidRDefault="004E283D" w:rsidP="004E283D">
      <w:pPr>
        <w:pStyle w:val="Observation"/>
        <w:ind w:left="0" w:firstLine="0"/>
      </w:pPr>
      <w:bookmarkStart w:id="8" w:name="_Toc111123558"/>
      <w:bookmarkStart w:id="9" w:name="_Toc118727578"/>
      <w:r>
        <w:t>For LTE SL and NR SL co-channel coexistence, SCS is limited to 15 kHz.</w:t>
      </w:r>
      <w:bookmarkEnd w:id="8"/>
      <w:bookmarkEnd w:id="9"/>
      <w:r>
        <w:t xml:space="preserve"> </w:t>
      </w:r>
    </w:p>
    <w:p w14:paraId="3D98DFEA" w14:textId="77777777" w:rsidR="004E283D" w:rsidRDefault="004E283D" w:rsidP="004E283D">
      <w:pPr>
        <w:pStyle w:val="Observation"/>
        <w:ind w:left="0" w:firstLine="0"/>
      </w:pPr>
      <w:bookmarkStart w:id="10" w:name="_Toc111123559"/>
      <w:bookmarkStart w:id="11" w:name="_Toc118727579"/>
      <w:r>
        <w:t>For LTE SL and NR SL co-channel coexistence, PSFCH periodicity should be 2 or 4.</w:t>
      </w:r>
      <w:bookmarkEnd w:id="10"/>
      <w:bookmarkEnd w:id="11"/>
    </w:p>
    <w:p w14:paraId="0EFEABD8" w14:textId="2466720E" w:rsidR="00534B98" w:rsidRPr="00600F25" w:rsidRDefault="00534B98" w:rsidP="00AF5EF2">
      <w:pPr>
        <w:spacing w:before="240"/>
        <w:jc w:val="both"/>
      </w:pPr>
      <w:r w:rsidRPr="00AF5EF2">
        <w:rPr>
          <w:lang w:val="en-GB" w:eastAsia="ja-JP"/>
        </w:rPr>
        <w:t>We discuss issues related to PSFCH</w:t>
      </w:r>
      <w:r>
        <w:rPr>
          <w:lang w:eastAsia="ja-JP"/>
        </w:rPr>
        <w:t xml:space="preserve"> and resource (re-)selection in Section 4.2</w:t>
      </w:r>
      <w:r w:rsidR="008E0555">
        <w:rPr>
          <w:lang w:eastAsia="ja-JP"/>
        </w:rPr>
        <w:t xml:space="preserve">. Subcarrier spacing is discussed further in Section </w:t>
      </w:r>
      <w:r w:rsidR="00AF5EF2">
        <w:rPr>
          <w:lang w:eastAsia="ja-JP"/>
        </w:rPr>
        <w:t>2</w:t>
      </w:r>
      <w:r w:rsidR="008E0555">
        <w:rPr>
          <w:lang w:eastAsia="ja-JP"/>
        </w:rPr>
        <w:t>.</w:t>
      </w:r>
      <w:r w:rsidR="00AF5EF2">
        <w:rPr>
          <w:lang w:eastAsia="ja-JP"/>
        </w:rPr>
        <w:t>4</w:t>
      </w:r>
    </w:p>
    <w:p w14:paraId="6CB1A7EE" w14:textId="2AE940CD" w:rsidR="008D1D13" w:rsidRDefault="00EB26D8" w:rsidP="006742D0">
      <w:pPr>
        <w:pStyle w:val="NoSpacing"/>
        <w:rPr>
          <w:lang w:eastAsia="en-GB"/>
        </w:rPr>
      </w:pPr>
      <w:r w:rsidRPr="006128DD">
        <w:tab/>
      </w:r>
    </w:p>
    <w:p w14:paraId="11552014" w14:textId="3988E0DE" w:rsidR="002A7750" w:rsidRDefault="004A4BCC" w:rsidP="007C3B60">
      <w:pPr>
        <w:pStyle w:val="Heading2"/>
      </w:pPr>
      <w:r>
        <w:rPr>
          <w:rFonts w:eastAsiaTheme="minorHAnsi"/>
        </w:rPr>
        <w:lastRenderedPageBreak/>
        <w:t>2</w:t>
      </w:r>
      <w:r w:rsidR="00733C56">
        <w:t>.</w:t>
      </w:r>
      <w:r w:rsidR="00A126A0">
        <w:t>2</w:t>
      </w:r>
      <w:r w:rsidR="00733C56">
        <w:tab/>
      </w:r>
      <w:r w:rsidR="00733C56" w:rsidRPr="00733C56">
        <w:t xml:space="preserve">Dynamic co-channel coexistence between LTE and NR </w:t>
      </w:r>
      <w:proofErr w:type="spellStart"/>
      <w:r w:rsidR="00733C56" w:rsidRPr="00733C56">
        <w:t>sidelink</w:t>
      </w:r>
      <w:proofErr w:type="spellEnd"/>
    </w:p>
    <w:p w14:paraId="4405B686" w14:textId="668F7099" w:rsidR="00405D63" w:rsidRDefault="004A4BCC" w:rsidP="00961E04">
      <w:pPr>
        <w:pStyle w:val="Heading3"/>
      </w:pPr>
      <w:r>
        <w:t>2</w:t>
      </w:r>
      <w:r w:rsidR="00405D63">
        <w:t>.2.1</w:t>
      </w:r>
      <w:r w:rsidR="000A250E">
        <w:tab/>
      </w:r>
      <w:r w:rsidR="00CC3523">
        <w:t>A</w:t>
      </w:r>
      <w:r w:rsidR="00405D63">
        <w:t xml:space="preserve">lternatives for transmitting </w:t>
      </w:r>
      <w:r w:rsidR="007B6268">
        <w:t>HARQ feedback over PSFCH</w:t>
      </w:r>
    </w:p>
    <w:tbl>
      <w:tblPr>
        <w:tblStyle w:val="TableGrid"/>
        <w:tblW w:w="0" w:type="auto"/>
        <w:tblLook w:val="04A0" w:firstRow="1" w:lastRow="0" w:firstColumn="1" w:lastColumn="0" w:noHBand="0" w:noVBand="1"/>
      </w:tblPr>
      <w:tblGrid>
        <w:gridCol w:w="9629"/>
      </w:tblGrid>
      <w:tr w:rsidR="00EF64CA" w14:paraId="68D6B16F" w14:textId="77777777" w:rsidTr="00EF64CA">
        <w:tc>
          <w:tcPr>
            <w:tcW w:w="9629" w:type="dxa"/>
          </w:tcPr>
          <w:p w14:paraId="7AE4F213" w14:textId="77777777" w:rsidR="00332003" w:rsidRPr="00BB2568" w:rsidRDefault="00332003" w:rsidP="00332003">
            <w:pPr>
              <w:spacing w:before="120"/>
              <w:jc w:val="both"/>
              <w:rPr>
                <w:rFonts w:ascii="Times New Roman" w:eastAsia="MS Mincho" w:hAnsi="Times New Roman" w:cs="Times New Roman"/>
                <w:b/>
                <w:sz w:val="20"/>
                <w:szCs w:val="24"/>
                <w:lang w:val="en-GB" w:eastAsia="x-none"/>
              </w:rPr>
            </w:pPr>
            <w:r w:rsidRPr="00BB2568">
              <w:rPr>
                <w:rFonts w:ascii="Times New Roman" w:eastAsia="MS Mincho" w:hAnsi="Times New Roman" w:cs="Times New Roman"/>
                <w:b/>
                <w:sz w:val="20"/>
                <w:szCs w:val="24"/>
                <w:highlight w:val="green"/>
                <w:lang w:val="en-GB" w:eastAsia="x-none"/>
              </w:rPr>
              <w:t>Agreement</w:t>
            </w:r>
          </w:p>
          <w:p w14:paraId="3C27AC67" w14:textId="77777777" w:rsidR="00332003" w:rsidRPr="00BB2568" w:rsidRDefault="00332003" w:rsidP="00332003">
            <w:pPr>
              <w:jc w:val="both"/>
              <w:rPr>
                <w:rFonts w:ascii="Times New Roman" w:eastAsia="MS Mincho" w:hAnsi="Times New Roman" w:cs="Times New Roman"/>
                <w:sz w:val="20"/>
                <w:szCs w:val="24"/>
                <w:lang w:val="en-GB" w:eastAsia="x-none"/>
              </w:rPr>
            </w:pPr>
            <w:r w:rsidRPr="00BB2568">
              <w:rPr>
                <w:rFonts w:ascii="Times New Roman" w:eastAsia="MS Mincho" w:hAnsi="Times New Roman" w:cs="Times New Roman"/>
                <w:sz w:val="20"/>
                <w:szCs w:val="24"/>
                <w:lang w:val="en-GB" w:eastAsia="x-none"/>
              </w:rPr>
              <w:t>For co-channel coexistence in Rel-18, dynamic resource pool sharing is studied, with the following constraints:</w:t>
            </w:r>
          </w:p>
          <w:p w14:paraId="590DBBAA" w14:textId="77777777" w:rsidR="00332003" w:rsidRPr="00BB2568" w:rsidRDefault="00332003" w:rsidP="00332003">
            <w:pPr>
              <w:numPr>
                <w:ilvl w:val="1"/>
                <w:numId w:val="17"/>
              </w:numPr>
              <w:spacing w:after="0"/>
              <w:ind w:left="720"/>
              <w:jc w:val="both"/>
              <w:rPr>
                <w:rFonts w:ascii="Times New Roman" w:eastAsia="MS Mincho" w:hAnsi="Times New Roman" w:cs="Times New Roman"/>
                <w:sz w:val="20"/>
                <w:szCs w:val="24"/>
                <w:lang w:val="en-GB" w:eastAsia="x-none"/>
              </w:rPr>
            </w:pPr>
            <w:r w:rsidRPr="00BB2568">
              <w:rPr>
                <w:rFonts w:ascii="Times New Roman" w:eastAsia="MS Mincho" w:hAnsi="Times New Roman" w:cs="Times New Roman"/>
                <w:sz w:val="20"/>
                <w:szCs w:val="24"/>
                <w:lang w:val="en-GB" w:eastAsia="x-none"/>
              </w:rPr>
              <w:t>NR SL resource pool is configured with 15 kHz SCS.</w:t>
            </w:r>
          </w:p>
          <w:p w14:paraId="7EE55733" w14:textId="77777777" w:rsidR="00332003" w:rsidRPr="00BB2568" w:rsidRDefault="00332003" w:rsidP="00332003">
            <w:pPr>
              <w:numPr>
                <w:ilvl w:val="2"/>
                <w:numId w:val="17"/>
              </w:numPr>
              <w:spacing w:after="0"/>
              <w:ind w:left="1080"/>
              <w:jc w:val="both"/>
              <w:rPr>
                <w:rFonts w:ascii="Times New Roman" w:eastAsia="MS Mincho" w:hAnsi="Times New Roman" w:cs="Times New Roman"/>
                <w:sz w:val="20"/>
                <w:szCs w:val="24"/>
                <w:lang w:val="en-GB" w:eastAsia="x-none"/>
              </w:rPr>
            </w:pPr>
            <w:r w:rsidRPr="00BB2568">
              <w:rPr>
                <w:rFonts w:ascii="Times New Roman" w:eastAsia="MS Mincho" w:hAnsi="Times New Roman" w:cs="Times New Roman"/>
                <w:sz w:val="20"/>
                <w:szCs w:val="24"/>
                <w:lang w:val="en-GB" w:eastAsia="x-none"/>
              </w:rPr>
              <w:t>FFS support of NR SL resource pool configured with higher SCS, including other solutions to overcome the AGC issue caused by the differing SCSs between the NR SL and LTE SL resource pools</w:t>
            </w:r>
          </w:p>
          <w:p w14:paraId="3F4F35B1" w14:textId="77777777" w:rsidR="00332003" w:rsidRPr="00BB2568" w:rsidRDefault="00332003" w:rsidP="00332003">
            <w:pPr>
              <w:numPr>
                <w:ilvl w:val="1"/>
                <w:numId w:val="17"/>
              </w:numPr>
              <w:spacing w:after="0"/>
              <w:ind w:left="720"/>
              <w:jc w:val="both"/>
              <w:rPr>
                <w:rFonts w:ascii="Times New Roman" w:eastAsia="MS Mincho" w:hAnsi="Times New Roman" w:cs="Times New Roman"/>
                <w:sz w:val="20"/>
                <w:szCs w:val="24"/>
                <w:lang w:val="en-GB" w:eastAsia="x-none"/>
              </w:rPr>
            </w:pPr>
            <w:r w:rsidRPr="00BB2568">
              <w:rPr>
                <w:rFonts w:ascii="Times New Roman" w:eastAsia="MS Mincho" w:hAnsi="Times New Roman" w:cs="Times New Roman"/>
                <w:sz w:val="20"/>
                <w:szCs w:val="24"/>
                <w:lang w:val="en-GB" w:eastAsia="x-none"/>
              </w:rPr>
              <w:t>For NR PSFCH (if configured), at least the following alternatives are studied:</w:t>
            </w:r>
          </w:p>
          <w:p w14:paraId="5CCB8C02" w14:textId="77777777" w:rsidR="00332003" w:rsidRPr="00BB2568" w:rsidRDefault="00332003" w:rsidP="00332003">
            <w:pPr>
              <w:numPr>
                <w:ilvl w:val="2"/>
                <w:numId w:val="17"/>
              </w:numPr>
              <w:spacing w:after="0"/>
              <w:ind w:left="1080"/>
              <w:jc w:val="both"/>
              <w:rPr>
                <w:rFonts w:ascii="Times New Roman" w:eastAsia="MS Mincho" w:hAnsi="Times New Roman" w:cs="Times New Roman"/>
                <w:sz w:val="20"/>
                <w:szCs w:val="24"/>
                <w:lang w:val="en-GB" w:eastAsia="x-none"/>
              </w:rPr>
            </w:pPr>
            <w:r w:rsidRPr="00BB2568">
              <w:rPr>
                <w:rFonts w:ascii="Times New Roman" w:eastAsia="MS Mincho" w:hAnsi="Times New Roman" w:cs="Times New Roman"/>
                <w:sz w:val="20"/>
                <w:szCs w:val="24"/>
                <w:lang w:val="en-GB" w:eastAsia="x-none"/>
              </w:rPr>
              <w:t>Alt 1: Avoid PSFCH transmission in time slots that overlap with subframes used for LTE SL transmissions.</w:t>
            </w:r>
          </w:p>
          <w:p w14:paraId="07C71839" w14:textId="77777777" w:rsidR="00332003" w:rsidRPr="00BB2568" w:rsidRDefault="00332003" w:rsidP="00332003">
            <w:pPr>
              <w:numPr>
                <w:ilvl w:val="3"/>
                <w:numId w:val="17"/>
              </w:numPr>
              <w:spacing w:after="0"/>
              <w:ind w:left="1440"/>
              <w:jc w:val="both"/>
              <w:rPr>
                <w:rFonts w:ascii="Times New Roman" w:eastAsia="MS Mincho" w:hAnsi="Times New Roman" w:cs="Times New Roman"/>
                <w:sz w:val="20"/>
                <w:szCs w:val="24"/>
                <w:lang w:val="en-GB" w:eastAsia="x-none"/>
              </w:rPr>
            </w:pPr>
            <w:r w:rsidRPr="00BB2568">
              <w:rPr>
                <w:rFonts w:ascii="Times New Roman" w:eastAsia="MS Mincho" w:hAnsi="Times New Roman" w:cs="Times New Roman"/>
                <w:sz w:val="20"/>
                <w:szCs w:val="24"/>
                <w:lang w:val="en-GB" w:eastAsia="x-none"/>
              </w:rPr>
              <w:t>FFS: Avoiding PSFCH transmissions can be performed by the UE transmitting PSFCH and/or the UE transmitting PSSCH.</w:t>
            </w:r>
          </w:p>
          <w:p w14:paraId="7BF900F8" w14:textId="77777777" w:rsidR="00332003" w:rsidRPr="00BB2568" w:rsidRDefault="00332003" w:rsidP="00332003">
            <w:pPr>
              <w:numPr>
                <w:ilvl w:val="2"/>
                <w:numId w:val="17"/>
              </w:numPr>
              <w:spacing w:after="0"/>
              <w:ind w:left="1080"/>
              <w:jc w:val="both"/>
              <w:rPr>
                <w:rFonts w:ascii="Times New Roman" w:eastAsia="MS Mincho" w:hAnsi="Times New Roman" w:cs="Times New Roman"/>
                <w:sz w:val="20"/>
                <w:szCs w:val="24"/>
                <w:lang w:val="en-GB" w:eastAsia="x-none"/>
              </w:rPr>
            </w:pPr>
            <w:r w:rsidRPr="00BB2568">
              <w:rPr>
                <w:rFonts w:ascii="Times New Roman" w:eastAsia="MS Mincho" w:hAnsi="Times New Roman" w:cs="Times New Roman"/>
                <w:sz w:val="20"/>
                <w:szCs w:val="24"/>
                <w:lang w:val="en-GB" w:eastAsia="x-none"/>
              </w:rPr>
              <w:t>Alt 2: NR SL UEs use a periodically repeating set of PSFCH slots.</w:t>
            </w:r>
          </w:p>
          <w:p w14:paraId="022BE401" w14:textId="322DC663" w:rsidR="00EF64CA" w:rsidRPr="008B2944" w:rsidRDefault="00332003" w:rsidP="008B2944">
            <w:pPr>
              <w:numPr>
                <w:ilvl w:val="3"/>
                <w:numId w:val="17"/>
              </w:numPr>
              <w:spacing w:after="0"/>
              <w:ind w:left="1440"/>
              <w:jc w:val="both"/>
              <w:rPr>
                <w:rFonts w:ascii="Times New Roman" w:eastAsia="MS Mincho" w:hAnsi="Times New Roman" w:cs="Times New Roman"/>
                <w:sz w:val="20"/>
                <w:szCs w:val="24"/>
                <w:lang w:val="en-GB" w:eastAsia="x-none"/>
              </w:rPr>
            </w:pPr>
            <w:r w:rsidRPr="00BB2568">
              <w:rPr>
                <w:rFonts w:ascii="Times New Roman" w:eastAsia="MS Mincho" w:hAnsi="Times New Roman" w:cs="Times New Roman"/>
                <w:sz w:val="20"/>
                <w:szCs w:val="24"/>
                <w:lang w:val="en-GB" w:eastAsia="x-none"/>
              </w:rPr>
              <w:t>FFS: periodicities of the set.</w:t>
            </w:r>
          </w:p>
        </w:tc>
      </w:tr>
    </w:tbl>
    <w:p w14:paraId="256B6BE3" w14:textId="77777777" w:rsidR="00EF64CA" w:rsidRDefault="00EF64CA" w:rsidP="00DA0C32"/>
    <w:p w14:paraId="62CE6EBD" w14:textId="40981506" w:rsidR="00961E04" w:rsidRDefault="00DA0C32" w:rsidP="00DA0C32">
      <w:r w:rsidRPr="00CA5C78">
        <w:t xml:space="preserve">In the previous meeting, two alternative solutions have been discussed </w:t>
      </w:r>
      <w:r w:rsidR="00EC5E44">
        <w:t>to address</w:t>
      </w:r>
      <w:r w:rsidR="00EC5E44" w:rsidRPr="00CA5C78">
        <w:t xml:space="preserve"> </w:t>
      </w:r>
      <w:r w:rsidRPr="00CA5C78">
        <w:t xml:space="preserve">the </w:t>
      </w:r>
      <w:r w:rsidR="00666A12">
        <w:t xml:space="preserve">power variations and </w:t>
      </w:r>
      <w:r w:rsidRPr="00CA5C78">
        <w:t xml:space="preserve">AGC issue of transmitting PSFCH on LTE </w:t>
      </w:r>
      <w:r w:rsidR="00666A12">
        <w:t xml:space="preserve">SL </w:t>
      </w:r>
      <w:r w:rsidRPr="00CA5C78">
        <w:t>subframe</w:t>
      </w:r>
      <w:r w:rsidR="00666A12">
        <w:t>s as follows</w:t>
      </w:r>
      <w:r w:rsidR="00122C56">
        <w:t xml:space="preserve"> </w:t>
      </w:r>
      <w:r w:rsidR="00122C56" w:rsidRPr="00961E04">
        <w:t>[2]</w:t>
      </w:r>
      <w:r w:rsidR="00C5250C">
        <w:t>.</w:t>
      </w:r>
    </w:p>
    <w:p w14:paraId="00A44C74" w14:textId="77777777" w:rsidR="00596529" w:rsidRPr="00EC5E44" w:rsidRDefault="00596529" w:rsidP="00A45730">
      <w:pPr>
        <w:pStyle w:val="ListParagraph"/>
        <w:numPr>
          <w:ilvl w:val="0"/>
          <w:numId w:val="37"/>
        </w:numPr>
        <w:jc w:val="both"/>
        <w:rPr>
          <w:rFonts w:ascii="Arial" w:eastAsiaTheme="minorHAnsi" w:hAnsi="Arial"/>
          <w:sz w:val="20"/>
          <w:lang w:val="en-US"/>
        </w:rPr>
      </w:pPr>
      <w:r w:rsidRPr="00EC5E44">
        <w:rPr>
          <w:rFonts w:ascii="Arial" w:eastAsiaTheme="minorHAnsi" w:hAnsi="Arial"/>
          <w:sz w:val="20"/>
          <w:lang w:val="en-US"/>
        </w:rPr>
        <w:t>For dynamic resource pool sharing, in NR SL resource pools with PSFCH configured and when HARQ-ACK is enabled, the NR SL UE avoids PSFCH transmissions in time slots that overlap with subframes used for LTE SL transmissions (Alt 1).</w:t>
      </w:r>
    </w:p>
    <w:p w14:paraId="6486B2E2" w14:textId="27DF00E3" w:rsidR="00596529" w:rsidRPr="00EC5E44" w:rsidRDefault="00596529" w:rsidP="00A45730">
      <w:pPr>
        <w:pStyle w:val="ListParagraph"/>
        <w:numPr>
          <w:ilvl w:val="0"/>
          <w:numId w:val="37"/>
        </w:numPr>
        <w:jc w:val="both"/>
        <w:rPr>
          <w:rFonts w:ascii="Arial" w:eastAsiaTheme="minorHAnsi" w:hAnsi="Arial"/>
          <w:sz w:val="20"/>
          <w:lang w:val="en-US"/>
        </w:rPr>
      </w:pPr>
      <w:r w:rsidRPr="00EC5E44">
        <w:rPr>
          <w:rFonts w:ascii="Arial" w:eastAsiaTheme="minorHAnsi" w:hAnsi="Arial"/>
          <w:sz w:val="20"/>
          <w:lang w:val="en-US"/>
        </w:rPr>
        <w:t>NR SL UEs use a periodically repeating set of PSFCH slots (Alt 2).</w:t>
      </w:r>
    </w:p>
    <w:p w14:paraId="1DB8148D" w14:textId="77777777" w:rsidR="00666A12" w:rsidRDefault="00666A12" w:rsidP="00DA0C32"/>
    <w:p w14:paraId="0C18E35E" w14:textId="5CBD62BB" w:rsidR="00452954" w:rsidRPr="00600F25" w:rsidRDefault="004A4BCC" w:rsidP="00794BA2">
      <w:pPr>
        <w:pStyle w:val="Heading4"/>
      </w:pPr>
      <w:r>
        <w:t>2</w:t>
      </w:r>
      <w:r w:rsidR="00324FD1">
        <w:t>.2.1.1</w:t>
      </w:r>
      <w:r w:rsidR="00324FD1">
        <w:tab/>
      </w:r>
      <w:r w:rsidR="00CB2BEE">
        <w:t>Altern</w:t>
      </w:r>
      <w:r w:rsidR="0073336D">
        <w:t>ative 1</w:t>
      </w:r>
    </w:p>
    <w:p w14:paraId="0C570D59" w14:textId="5AC5DAAD" w:rsidR="00DA0C32" w:rsidRPr="00CC6EBA" w:rsidRDefault="00DA0C32" w:rsidP="00C1622D">
      <w:pPr>
        <w:jc w:val="both"/>
      </w:pPr>
      <w:r w:rsidRPr="00CA5C78">
        <w:t>Alt</w:t>
      </w:r>
      <w:r w:rsidR="00666A12">
        <w:t xml:space="preserve"> </w:t>
      </w:r>
      <w:r w:rsidRPr="00CA5C78">
        <w:t xml:space="preserve">1 </w:t>
      </w:r>
      <w:r w:rsidR="00666A12">
        <w:t xml:space="preserve">in the </w:t>
      </w:r>
      <w:r w:rsidR="00D35E02">
        <w:t>above</w:t>
      </w:r>
      <w:r w:rsidR="00666A12">
        <w:t xml:space="preserve"> </w:t>
      </w:r>
      <w:r w:rsidR="00EB2B9F">
        <w:t xml:space="preserve">agreement </w:t>
      </w:r>
      <w:r w:rsidR="00666A12">
        <w:t>considers</w:t>
      </w:r>
      <w:r w:rsidRPr="00CA5C78">
        <w:t xml:space="preserve"> avoiding </w:t>
      </w:r>
      <w:r w:rsidRPr="00CC6EBA">
        <w:t xml:space="preserve">PSFCH transmission in time slots that overlap with subframes used for LTE SL transmissions. In our view, transmitting HARQ feedback over PSFCH is </w:t>
      </w:r>
      <w:r w:rsidR="00C43541">
        <w:t xml:space="preserve">one of the key features of NR SL and </w:t>
      </w:r>
      <w:r w:rsidR="00EB2B9F">
        <w:t xml:space="preserve">it is </w:t>
      </w:r>
      <w:r w:rsidRPr="00CC6EBA">
        <w:t xml:space="preserve">important for the reliability of </w:t>
      </w:r>
      <w:proofErr w:type="spellStart"/>
      <w:r w:rsidRPr="00CC6EBA">
        <w:t>sidelink</w:t>
      </w:r>
      <w:proofErr w:type="spellEnd"/>
      <w:r w:rsidRPr="00CC6EBA">
        <w:t xml:space="preserve"> transmissions and </w:t>
      </w:r>
      <w:r w:rsidR="0033062E">
        <w:t xml:space="preserve">for </w:t>
      </w:r>
      <w:r w:rsidRPr="00CC6EBA">
        <w:t xml:space="preserve">improving the spectral efficiency compared to HARQ-less transmissions or transmitting HARQ feedback over PSSCH. </w:t>
      </w:r>
    </w:p>
    <w:p w14:paraId="02A7D83E" w14:textId="77777777" w:rsidR="00DA0C32" w:rsidRDefault="00DA0C32" w:rsidP="00DA0C32">
      <w:pPr>
        <w:pStyle w:val="Observation"/>
        <w:ind w:left="1701" w:hanging="1701"/>
        <w:rPr>
          <w:lang w:val="en-GB"/>
        </w:rPr>
      </w:pPr>
      <w:bookmarkStart w:id="12" w:name="_Toc118727580"/>
      <w:r>
        <w:rPr>
          <w:lang w:val="en-GB"/>
        </w:rPr>
        <w:t>Avoiding transmission of PSFCH in LTE SL subframe impacts the reliability and spectral efficiency of NR SL transmission.</w:t>
      </w:r>
      <w:bookmarkEnd w:id="12"/>
    </w:p>
    <w:p w14:paraId="03C034ED" w14:textId="08BAC933" w:rsidR="000E37E2" w:rsidRDefault="000E37E2" w:rsidP="00E5449C">
      <w:pPr>
        <w:jc w:val="both"/>
      </w:pPr>
      <w:r>
        <w:t xml:space="preserve">Therefore, </w:t>
      </w:r>
      <w:r w:rsidR="000D4695">
        <w:t xml:space="preserve">we believe that </w:t>
      </w:r>
      <w:r w:rsidR="007A5E25">
        <w:t xml:space="preserve">having </w:t>
      </w:r>
      <w:r w:rsidR="002738C9">
        <w:t xml:space="preserve">a solution </w:t>
      </w:r>
      <w:r w:rsidR="007A5E25">
        <w:t xml:space="preserve">that </w:t>
      </w:r>
      <w:r w:rsidR="006E2855">
        <w:t>simply avoid</w:t>
      </w:r>
      <w:r w:rsidR="007A5E25">
        <w:t>s</w:t>
      </w:r>
      <w:r w:rsidR="006E2855">
        <w:t xml:space="preserve"> the transmission of PSFCH </w:t>
      </w:r>
      <w:r w:rsidR="007A5E25">
        <w:t xml:space="preserve">when </w:t>
      </w:r>
      <w:r w:rsidR="00863E36">
        <w:t>overlapping</w:t>
      </w:r>
      <w:r w:rsidR="006E2855">
        <w:t xml:space="preserve"> with LTE SL transmissions </w:t>
      </w:r>
      <w:r w:rsidR="0013595F">
        <w:t xml:space="preserve">can </w:t>
      </w:r>
      <w:r w:rsidR="002B5851">
        <w:t>be seen as last-resort option</w:t>
      </w:r>
      <w:r w:rsidR="003D4848">
        <w:t xml:space="preserve">, </w:t>
      </w:r>
      <w:r w:rsidR="00B2573B">
        <w:t xml:space="preserve">rather </w:t>
      </w:r>
      <w:r w:rsidR="00E16390">
        <w:t>than</w:t>
      </w:r>
      <w:r w:rsidR="00B2573B">
        <w:t xml:space="preserve"> a way of coexistence</w:t>
      </w:r>
      <w:r w:rsidR="00E16390">
        <w:t xml:space="preserve"> </w:t>
      </w:r>
      <w:r w:rsidR="00B2573B">
        <w:t>mechanism.</w:t>
      </w:r>
      <w:r w:rsidR="00F94617">
        <w:t xml:space="preserve"> Alternatively, we envision </w:t>
      </w:r>
      <w:r w:rsidR="00C22207">
        <w:t xml:space="preserve">the technical solution </w:t>
      </w:r>
      <w:r w:rsidR="007F7C69">
        <w:t>feature the following steps:</w:t>
      </w:r>
    </w:p>
    <w:p w14:paraId="75D24F77" w14:textId="2917C1B0" w:rsidR="007F7C69" w:rsidRPr="00863E36" w:rsidRDefault="00A168FE" w:rsidP="00E5449C">
      <w:pPr>
        <w:pStyle w:val="ListParagraph"/>
        <w:numPr>
          <w:ilvl w:val="0"/>
          <w:numId w:val="44"/>
        </w:numPr>
        <w:jc w:val="both"/>
        <w:rPr>
          <w:rFonts w:ascii="Arial" w:hAnsi="Arial" w:cs="Arial"/>
          <w:sz w:val="20"/>
          <w:szCs w:val="20"/>
        </w:rPr>
      </w:pPr>
      <w:r w:rsidRPr="00863E36">
        <w:rPr>
          <w:rFonts w:ascii="Arial" w:hAnsi="Arial" w:cs="Arial"/>
          <w:sz w:val="20"/>
          <w:szCs w:val="20"/>
          <w:lang w:val="en-US"/>
        </w:rPr>
        <w:t>Step 1: a</w:t>
      </w:r>
      <w:r w:rsidR="007F7C69" w:rsidRPr="00863E36">
        <w:rPr>
          <w:rFonts w:ascii="Arial" w:hAnsi="Arial" w:cs="Arial"/>
          <w:sz w:val="20"/>
          <w:szCs w:val="20"/>
          <w:lang w:val="en-US"/>
        </w:rPr>
        <w:t xml:space="preserve">void selecting PSCCH/PSSCH resources that have an associated PSFCH occasion which overlaps with a reserved LTE </w:t>
      </w:r>
      <w:r w:rsidR="00706F7E" w:rsidRPr="00863E36">
        <w:rPr>
          <w:rFonts w:ascii="Arial" w:hAnsi="Arial" w:cs="Arial"/>
          <w:sz w:val="20"/>
          <w:szCs w:val="20"/>
          <w:lang w:val="en-US"/>
        </w:rPr>
        <w:t xml:space="preserve">SL </w:t>
      </w:r>
      <w:r w:rsidR="007F7C69" w:rsidRPr="00863E36">
        <w:rPr>
          <w:rFonts w:ascii="Arial" w:hAnsi="Arial" w:cs="Arial"/>
          <w:sz w:val="20"/>
          <w:szCs w:val="20"/>
          <w:lang w:val="en-US"/>
        </w:rPr>
        <w:t>transmission</w:t>
      </w:r>
      <w:r w:rsidR="007A5E25">
        <w:rPr>
          <w:rFonts w:ascii="Arial" w:hAnsi="Arial" w:cs="Arial"/>
          <w:sz w:val="20"/>
          <w:szCs w:val="20"/>
          <w:lang w:val="en-US"/>
        </w:rPr>
        <w:t>.</w:t>
      </w:r>
    </w:p>
    <w:p w14:paraId="74A8B097" w14:textId="61745A61" w:rsidR="00A168FE" w:rsidRPr="00863E36" w:rsidRDefault="00A168FE" w:rsidP="00E5449C">
      <w:pPr>
        <w:pStyle w:val="ListParagraph"/>
        <w:numPr>
          <w:ilvl w:val="0"/>
          <w:numId w:val="44"/>
        </w:numPr>
        <w:jc w:val="both"/>
        <w:rPr>
          <w:rFonts w:ascii="Arial" w:hAnsi="Arial" w:cs="Arial"/>
          <w:sz w:val="20"/>
          <w:szCs w:val="20"/>
        </w:rPr>
      </w:pPr>
      <w:r w:rsidRPr="00863E36">
        <w:rPr>
          <w:rFonts w:ascii="Arial" w:hAnsi="Arial" w:cs="Arial"/>
          <w:sz w:val="20"/>
          <w:szCs w:val="20"/>
          <w:lang w:val="en-US"/>
        </w:rPr>
        <w:t>If step 1 fails</w:t>
      </w:r>
      <w:r w:rsidR="00DB7936" w:rsidRPr="00863E36">
        <w:rPr>
          <w:rFonts w:ascii="Arial" w:hAnsi="Arial" w:cs="Arial"/>
          <w:sz w:val="20"/>
          <w:szCs w:val="20"/>
          <w:lang w:val="en-US"/>
        </w:rPr>
        <w:t xml:space="preserve"> (e.g., the LTE resource booking </w:t>
      </w:r>
      <w:r w:rsidR="00A46376" w:rsidRPr="00863E36">
        <w:rPr>
          <w:rFonts w:ascii="Arial" w:hAnsi="Arial" w:cs="Arial"/>
          <w:sz w:val="20"/>
          <w:szCs w:val="20"/>
          <w:lang w:val="en-US"/>
        </w:rPr>
        <w:t>comes later)</w:t>
      </w:r>
      <w:r w:rsidR="00284F21" w:rsidRPr="00863E36">
        <w:rPr>
          <w:rFonts w:ascii="Arial" w:hAnsi="Arial" w:cs="Arial"/>
          <w:sz w:val="20"/>
          <w:szCs w:val="20"/>
          <w:lang w:val="en-US"/>
        </w:rPr>
        <w:t xml:space="preserve">, </w:t>
      </w:r>
      <w:r w:rsidR="003C7C1E" w:rsidRPr="00863E36">
        <w:rPr>
          <w:rFonts w:ascii="Arial" w:hAnsi="Arial" w:cs="Arial"/>
          <w:sz w:val="20"/>
          <w:szCs w:val="20"/>
          <w:lang w:val="en-US"/>
        </w:rPr>
        <w:t xml:space="preserve">follow </w:t>
      </w:r>
      <w:r w:rsidR="00284F21" w:rsidRPr="00863E36">
        <w:rPr>
          <w:rFonts w:ascii="Arial" w:hAnsi="Arial" w:cs="Arial"/>
          <w:sz w:val="20"/>
          <w:szCs w:val="20"/>
          <w:lang w:val="en-US"/>
        </w:rPr>
        <w:t>Step 2</w:t>
      </w:r>
      <w:r w:rsidR="003C7C1E" w:rsidRPr="00863E36">
        <w:rPr>
          <w:rFonts w:ascii="Arial" w:hAnsi="Arial" w:cs="Arial"/>
          <w:sz w:val="20"/>
          <w:szCs w:val="20"/>
          <w:lang w:val="en-US"/>
        </w:rPr>
        <w:t xml:space="preserve">: </w:t>
      </w:r>
      <w:r w:rsidR="00FD7DD1" w:rsidRPr="00863E36">
        <w:rPr>
          <w:rFonts w:ascii="Arial" w:hAnsi="Arial" w:cs="Arial"/>
          <w:sz w:val="20"/>
          <w:szCs w:val="20"/>
          <w:lang w:val="en-US"/>
        </w:rPr>
        <w:t xml:space="preserve">avoid transmitting PSCCH/PSSCH in resources that have an associated PSFCH occasion which overlaps with a reserved LTE </w:t>
      </w:r>
      <w:r w:rsidR="00706F7E" w:rsidRPr="00863E36">
        <w:rPr>
          <w:rFonts w:ascii="Arial" w:hAnsi="Arial" w:cs="Arial"/>
          <w:sz w:val="20"/>
          <w:szCs w:val="20"/>
          <w:lang w:val="en-US"/>
        </w:rPr>
        <w:t xml:space="preserve">SL </w:t>
      </w:r>
      <w:r w:rsidR="00FD7DD1" w:rsidRPr="00863E36">
        <w:rPr>
          <w:rFonts w:ascii="Arial" w:hAnsi="Arial" w:cs="Arial"/>
          <w:sz w:val="20"/>
          <w:szCs w:val="20"/>
          <w:lang w:val="en-US"/>
        </w:rPr>
        <w:t>transmission.</w:t>
      </w:r>
    </w:p>
    <w:p w14:paraId="06F190F0" w14:textId="6CC2A5C7" w:rsidR="00FD7DD1" w:rsidRPr="00863E36" w:rsidRDefault="00FD7DD1" w:rsidP="00E5449C">
      <w:pPr>
        <w:pStyle w:val="ListParagraph"/>
        <w:numPr>
          <w:ilvl w:val="0"/>
          <w:numId w:val="44"/>
        </w:numPr>
        <w:jc w:val="both"/>
        <w:rPr>
          <w:rFonts w:ascii="Arial" w:hAnsi="Arial" w:cs="Arial"/>
          <w:sz w:val="20"/>
          <w:szCs w:val="20"/>
        </w:rPr>
      </w:pPr>
      <w:r w:rsidRPr="00863E36">
        <w:rPr>
          <w:rFonts w:ascii="Arial" w:hAnsi="Arial" w:cs="Arial"/>
          <w:sz w:val="20"/>
          <w:szCs w:val="20"/>
          <w:lang w:val="en-US"/>
        </w:rPr>
        <w:t>If step 2 fails</w:t>
      </w:r>
      <w:r w:rsidR="00782D7F" w:rsidRPr="00863E36">
        <w:rPr>
          <w:rFonts w:ascii="Arial" w:hAnsi="Arial" w:cs="Arial"/>
          <w:sz w:val="20"/>
          <w:szCs w:val="20"/>
          <w:lang w:val="en-US"/>
        </w:rPr>
        <w:t xml:space="preserve"> (e.g., the LTE resource booking comes ever later), follow Step 3: avoid </w:t>
      </w:r>
      <w:r w:rsidR="00AA625B" w:rsidRPr="00863E36">
        <w:rPr>
          <w:rFonts w:ascii="Arial" w:hAnsi="Arial" w:cs="Arial"/>
          <w:sz w:val="20"/>
          <w:szCs w:val="20"/>
          <w:lang w:val="en-US"/>
        </w:rPr>
        <w:t>transmitting PSFCH</w:t>
      </w:r>
      <w:r w:rsidR="00733326" w:rsidRPr="00863E36">
        <w:rPr>
          <w:rFonts w:ascii="Arial" w:hAnsi="Arial" w:cs="Arial"/>
          <w:sz w:val="20"/>
          <w:szCs w:val="20"/>
          <w:lang w:val="en-US"/>
        </w:rPr>
        <w:t>.</w:t>
      </w:r>
    </w:p>
    <w:p w14:paraId="131E6ED8" w14:textId="77777777" w:rsidR="007A5E25" w:rsidRPr="00733326" w:rsidRDefault="007A5E25" w:rsidP="00623231"/>
    <w:p w14:paraId="044FA8E0" w14:textId="68E3A8D5" w:rsidR="00634C85" w:rsidRPr="00863E36" w:rsidRDefault="00FF204B" w:rsidP="00863E3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eastAsia="Times New Roman" w:cs="Arial"/>
          <w:color w:val="000000"/>
          <w:szCs w:val="20"/>
          <w:lang w:val="en-GB" w:eastAsia="en-GB"/>
        </w:rPr>
      </w:pPr>
      <w:r w:rsidRPr="00863E36">
        <w:rPr>
          <w:rFonts w:eastAsia="Times New Roman" w:cs="Arial"/>
          <w:color w:val="000000"/>
          <w:szCs w:val="20"/>
          <w:lang w:val="en-GB" w:eastAsia="en-GB"/>
        </w:rPr>
        <w:t xml:space="preserve">Based on this, </w:t>
      </w:r>
      <w:r w:rsidR="008519BC" w:rsidRPr="00863E36">
        <w:rPr>
          <w:rFonts w:eastAsia="Times New Roman" w:cs="Arial"/>
          <w:color w:val="000000"/>
          <w:szCs w:val="20"/>
          <w:lang w:val="en-GB" w:eastAsia="en-GB"/>
        </w:rPr>
        <w:t xml:space="preserve">we propose that </w:t>
      </w:r>
      <w:r w:rsidR="00174BBB" w:rsidRPr="00863E36">
        <w:rPr>
          <w:rFonts w:eastAsia="Times New Roman" w:cs="Arial"/>
          <w:color w:val="000000"/>
          <w:szCs w:val="20"/>
          <w:lang w:val="en-GB" w:eastAsia="en-GB"/>
        </w:rPr>
        <w:t xml:space="preserve">Alt 1 </w:t>
      </w:r>
      <w:r w:rsidR="008519BC" w:rsidRPr="00863E36">
        <w:rPr>
          <w:rFonts w:eastAsia="Times New Roman" w:cs="Arial"/>
          <w:color w:val="000000"/>
          <w:szCs w:val="20"/>
          <w:lang w:val="en-GB" w:eastAsia="en-GB"/>
        </w:rPr>
        <w:t>is supported</w:t>
      </w:r>
      <w:r w:rsidR="00174BBB" w:rsidRPr="00863E36">
        <w:rPr>
          <w:rFonts w:eastAsia="Times New Roman" w:cs="Arial"/>
          <w:color w:val="000000"/>
          <w:szCs w:val="20"/>
          <w:lang w:val="en-GB" w:eastAsia="en-GB"/>
        </w:rPr>
        <w:t xml:space="preserve"> as </w:t>
      </w:r>
      <w:r w:rsidR="009D652C" w:rsidRPr="00863E36">
        <w:rPr>
          <w:rFonts w:eastAsia="Times New Roman" w:cs="Arial"/>
          <w:color w:val="000000"/>
          <w:szCs w:val="20"/>
          <w:lang w:val="en-GB" w:eastAsia="en-GB"/>
        </w:rPr>
        <w:t>an optimization step on</w:t>
      </w:r>
      <w:r w:rsidR="00FF24DB" w:rsidRPr="00863E36">
        <w:rPr>
          <w:rFonts w:eastAsia="Times New Roman" w:cs="Arial"/>
          <w:color w:val="000000"/>
          <w:szCs w:val="20"/>
          <w:lang w:val="en-GB" w:eastAsia="en-GB"/>
        </w:rPr>
        <w:t xml:space="preserve"> top of</w:t>
      </w:r>
      <w:r w:rsidR="009D652C" w:rsidRPr="00863E36">
        <w:rPr>
          <w:rFonts w:eastAsia="Times New Roman" w:cs="Arial"/>
          <w:color w:val="000000"/>
          <w:szCs w:val="20"/>
          <w:lang w:val="en-GB" w:eastAsia="en-GB"/>
        </w:rPr>
        <w:t xml:space="preserve"> </w:t>
      </w:r>
      <w:r w:rsidR="00473E49" w:rsidRPr="00863E36">
        <w:rPr>
          <w:rFonts w:eastAsia="Times New Roman" w:cs="Arial"/>
          <w:color w:val="000000"/>
          <w:szCs w:val="20"/>
          <w:lang w:val="en-GB" w:eastAsia="en-GB"/>
        </w:rPr>
        <w:t>Alt 2</w:t>
      </w:r>
      <w:r w:rsidR="001079B6" w:rsidRPr="00863E36">
        <w:rPr>
          <w:rFonts w:eastAsia="Times New Roman" w:cs="Arial"/>
          <w:color w:val="000000"/>
          <w:szCs w:val="20"/>
          <w:lang w:val="en-GB" w:eastAsia="en-GB"/>
        </w:rPr>
        <w:t xml:space="preserve"> and </w:t>
      </w:r>
      <w:r w:rsidR="008620AE" w:rsidRPr="00863E36">
        <w:rPr>
          <w:rFonts w:eastAsia="Times New Roman" w:cs="Arial"/>
          <w:color w:val="000000"/>
          <w:szCs w:val="20"/>
          <w:lang w:val="en-GB" w:eastAsia="en-GB"/>
        </w:rPr>
        <w:t>Alt 1</w:t>
      </w:r>
      <w:r w:rsidR="00775232" w:rsidRPr="00863E36">
        <w:rPr>
          <w:rFonts w:eastAsia="Times New Roman" w:cs="Arial"/>
          <w:color w:val="000000"/>
          <w:szCs w:val="20"/>
          <w:lang w:val="en-GB" w:eastAsia="en-GB"/>
        </w:rPr>
        <w:t>,</w:t>
      </w:r>
      <w:r w:rsidR="008620AE" w:rsidRPr="00863E36">
        <w:rPr>
          <w:rFonts w:eastAsia="Times New Roman" w:cs="Arial"/>
          <w:color w:val="000000"/>
          <w:szCs w:val="20"/>
          <w:lang w:val="en-GB" w:eastAsia="en-GB"/>
        </w:rPr>
        <w:t xml:space="preserve"> i</w:t>
      </w:r>
      <w:r w:rsidR="00775232" w:rsidRPr="00863E36">
        <w:rPr>
          <w:rFonts w:eastAsia="Times New Roman" w:cs="Arial"/>
          <w:color w:val="000000"/>
          <w:szCs w:val="20"/>
          <w:lang w:val="en-GB" w:eastAsia="en-GB"/>
        </w:rPr>
        <w:t>f</w:t>
      </w:r>
      <w:r w:rsidR="008620AE" w:rsidRPr="00863E36">
        <w:rPr>
          <w:rFonts w:eastAsia="Times New Roman" w:cs="Arial"/>
          <w:color w:val="000000"/>
          <w:szCs w:val="20"/>
          <w:lang w:val="en-GB" w:eastAsia="en-GB"/>
        </w:rPr>
        <w:t xml:space="preserve"> </w:t>
      </w:r>
      <w:r w:rsidR="002F74F5" w:rsidRPr="00863E36">
        <w:rPr>
          <w:rFonts w:eastAsia="Times New Roman" w:cs="Arial"/>
          <w:color w:val="000000"/>
          <w:szCs w:val="20"/>
          <w:lang w:val="en-GB" w:eastAsia="en-GB"/>
        </w:rPr>
        <w:t>supported, consists</w:t>
      </w:r>
      <w:r w:rsidR="00D61663" w:rsidRPr="00863E36">
        <w:rPr>
          <w:rFonts w:eastAsia="Times New Roman" w:cs="Arial"/>
          <w:color w:val="000000"/>
          <w:szCs w:val="20"/>
          <w:lang w:val="en-GB" w:eastAsia="en-GB"/>
        </w:rPr>
        <w:t xml:space="preserve"> of the above sequential steps.</w:t>
      </w:r>
    </w:p>
    <w:p w14:paraId="73463579" w14:textId="41DAFC78" w:rsidR="00D61663" w:rsidRDefault="00D61663" w:rsidP="00634C8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eastAsia="Times New Roman" w:cs="Arial"/>
          <w:color w:val="000000"/>
          <w:sz w:val="21"/>
          <w:szCs w:val="21"/>
          <w:lang w:val="en-GB" w:eastAsia="en-GB"/>
        </w:rPr>
      </w:pPr>
    </w:p>
    <w:p w14:paraId="51AC9364" w14:textId="43650952" w:rsidR="001A6C21" w:rsidRPr="00634C85" w:rsidRDefault="001A6C21" w:rsidP="006467D1">
      <w:pPr>
        <w:pStyle w:val="Proposal"/>
        <w:rPr>
          <w:lang w:val="en-GB"/>
        </w:rPr>
      </w:pPr>
      <w:bookmarkStart w:id="13" w:name="_Toc118727548"/>
      <w:r>
        <w:rPr>
          <w:lang w:val="en-GB"/>
        </w:rPr>
        <w:t xml:space="preserve">RAN1 considers Alt 1 </w:t>
      </w:r>
      <w:r w:rsidR="006467D1">
        <w:rPr>
          <w:lang w:val="en-GB"/>
        </w:rPr>
        <w:t>as an optimization step on top of Alt 2.</w:t>
      </w:r>
      <w:bookmarkEnd w:id="13"/>
    </w:p>
    <w:p w14:paraId="32782AAD" w14:textId="6A141751" w:rsidR="00EA553C" w:rsidRDefault="00EA553C" w:rsidP="00634C85">
      <w:pPr>
        <w:rPr>
          <w:rFonts w:eastAsia="Times New Roman" w:cs="Arial"/>
          <w:color w:val="000000"/>
          <w:sz w:val="21"/>
          <w:szCs w:val="21"/>
          <w:lang w:val="en-GB" w:eastAsia="en-GB"/>
        </w:rPr>
      </w:pPr>
    </w:p>
    <w:p w14:paraId="4EB83185" w14:textId="37DDEAAB" w:rsidR="004F70DC" w:rsidRPr="004528AF" w:rsidRDefault="004F70DC" w:rsidP="004F70DC">
      <w:pPr>
        <w:pStyle w:val="Proposal"/>
        <w:rPr>
          <w:rFonts w:cs="Arial"/>
          <w:szCs w:val="20"/>
          <w:lang w:val="en-GB" w:eastAsia="ja-JP"/>
        </w:rPr>
      </w:pPr>
      <w:bookmarkStart w:id="14" w:name="_Toc118727549"/>
      <w:r>
        <w:rPr>
          <w:rFonts w:cs="Arial"/>
          <w:szCs w:val="20"/>
          <w:lang w:val="en-GB" w:eastAsia="ja-JP"/>
        </w:rPr>
        <w:lastRenderedPageBreak/>
        <w:t>Alt 1, if supported,</w:t>
      </w:r>
      <w:r w:rsidR="00FD027C">
        <w:rPr>
          <w:rFonts w:cs="Arial"/>
          <w:szCs w:val="20"/>
          <w:lang w:val="en-GB" w:eastAsia="ja-JP"/>
        </w:rPr>
        <w:t xml:space="preserve"> </w:t>
      </w:r>
      <w:r w:rsidR="00EE31D5">
        <w:rPr>
          <w:rFonts w:cs="Arial"/>
          <w:szCs w:val="20"/>
          <w:lang w:val="en-GB" w:eastAsia="ja-JP"/>
        </w:rPr>
        <w:t xml:space="preserve">shall </w:t>
      </w:r>
      <w:r w:rsidR="0021339E">
        <w:rPr>
          <w:rFonts w:cs="Arial"/>
          <w:szCs w:val="20"/>
          <w:lang w:val="en-GB" w:eastAsia="ja-JP"/>
        </w:rPr>
        <w:t>consists of the sequential</w:t>
      </w:r>
      <w:r w:rsidR="002C03A5">
        <w:rPr>
          <w:rFonts w:cs="Arial"/>
          <w:szCs w:val="20"/>
          <w:lang w:val="en-GB" w:eastAsia="ja-JP"/>
        </w:rPr>
        <w:t xml:space="preserve"> steps</w:t>
      </w:r>
      <w:r w:rsidR="008B74E7">
        <w:rPr>
          <w:rFonts w:cs="Arial"/>
          <w:szCs w:val="20"/>
          <w:lang w:val="en-GB" w:eastAsia="ja-JP"/>
        </w:rPr>
        <w:t xml:space="preserve">: a) follow Step 1, b) if </w:t>
      </w:r>
      <w:r w:rsidR="000F4E0C">
        <w:rPr>
          <w:rFonts w:cs="Arial"/>
          <w:szCs w:val="20"/>
          <w:lang w:val="en-GB" w:eastAsia="ja-JP"/>
        </w:rPr>
        <w:t xml:space="preserve">Step 1 </w:t>
      </w:r>
      <w:r w:rsidR="008B74E7">
        <w:rPr>
          <w:rFonts w:cs="Arial"/>
          <w:szCs w:val="20"/>
          <w:lang w:val="en-GB" w:eastAsia="ja-JP"/>
        </w:rPr>
        <w:t xml:space="preserve">fails, follow Step 2 and c) if Step </w:t>
      </w:r>
      <w:r w:rsidR="00440085">
        <w:rPr>
          <w:rFonts w:cs="Arial"/>
          <w:szCs w:val="20"/>
          <w:lang w:val="en-GB" w:eastAsia="ja-JP"/>
        </w:rPr>
        <w:t xml:space="preserve">2 </w:t>
      </w:r>
      <w:r w:rsidR="008B74E7">
        <w:rPr>
          <w:rFonts w:cs="Arial"/>
          <w:szCs w:val="20"/>
          <w:lang w:val="en-GB" w:eastAsia="ja-JP"/>
        </w:rPr>
        <w:t>also fails, follow Step 3</w:t>
      </w:r>
      <w:r w:rsidR="009A36AE">
        <w:rPr>
          <w:rFonts w:cs="Arial"/>
          <w:szCs w:val="20"/>
          <w:lang w:val="en-GB" w:eastAsia="ja-JP"/>
        </w:rPr>
        <w:t>, where</w:t>
      </w:r>
      <w:r w:rsidR="006A35C5">
        <w:rPr>
          <w:rFonts w:cs="Arial"/>
          <w:szCs w:val="20"/>
          <w:lang w:val="en-GB" w:eastAsia="ja-JP"/>
        </w:rPr>
        <w:t>by</w:t>
      </w:r>
      <w:bookmarkEnd w:id="14"/>
    </w:p>
    <w:p w14:paraId="0B509BD4" w14:textId="0371EFB0" w:rsidR="004F70DC" w:rsidRDefault="00A40735" w:rsidP="004F70DC">
      <w:pPr>
        <w:pStyle w:val="Proposal"/>
        <w:numPr>
          <w:ilvl w:val="0"/>
          <w:numId w:val="14"/>
        </w:numPr>
      </w:pPr>
      <w:bookmarkStart w:id="15" w:name="_Toc118727550"/>
      <w:r>
        <w:t xml:space="preserve">Step 1: </w:t>
      </w:r>
      <w:r w:rsidR="00365585">
        <w:t xml:space="preserve">NR </w:t>
      </w:r>
      <w:r w:rsidR="004D1910" w:rsidRPr="001A0CE7">
        <w:t>PSCC</w:t>
      </w:r>
      <w:r w:rsidR="003A040D" w:rsidRPr="001A0CE7">
        <w:t>H/PSSCH TX UE avoid</w:t>
      </w:r>
      <w:r w:rsidR="003A040D">
        <w:t>s</w:t>
      </w:r>
      <w:r w:rsidR="003A040D" w:rsidRPr="001A0CE7">
        <w:t xml:space="preserve"> selecting resources </w:t>
      </w:r>
      <w:r w:rsidR="003A040D">
        <w:t>that have an associated PSFCH occasion which overlaps with a reserved LTE SL transmission</w:t>
      </w:r>
      <w:r w:rsidR="00FF4120">
        <w:t xml:space="preserve"> in time domain</w:t>
      </w:r>
      <w:r>
        <w:t>.</w:t>
      </w:r>
      <w:bookmarkEnd w:id="15"/>
    </w:p>
    <w:p w14:paraId="20AA5DAB" w14:textId="3BA0F746" w:rsidR="00A40735" w:rsidRDefault="009F5B49" w:rsidP="004F70DC">
      <w:pPr>
        <w:pStyle w:val="Proposal"/>
        <w:numPr>
          <w:ilvl w:val="0"/>
          <w:numId w:val="14"/>
        </w:numPr>
      </w:pPr>
      <w:bookmarkStart w:id="16" w:name="_Toc118727551"/>
      <w:r>
        <w:t xml:space="preserve">Step 2: NR </w:t>
      </w:r>
      <w:r w:rsidRPr="00D62DC0">
        <w:t>PSCCH/PSSCH TX UE avoid</w:t>
      </w:r>
      <w:r>
        <w:t>s transmitting PSCCH/PSSCH in resources that have an associated PSFCH occasion which overlaps with a reserved LTE SL transmission.</w:t>
      </w:r>
      <w:bookmarkEnd w:id="16"/>
    </w:p>
    <w:p w14:paraId="6E6E1857" w14:textId="1CD2BF8D" w:rsidR="00035170" w:rsidRPr="00BA36D1" w:rsidRDefault="00035170" w:rsidP="004F70DC">
      <w:pPr>
        <w:pStyle w:val="Proposal"/>
        <w:numPr>
          <w:ilvl w:val="0"/>
          <w:numId w:val="14"/>
        </w:numPr>
      </w:pPr>
      <w:bookmarkStart w:id="17" w:name="_Toc118727552"/>
      <w:r>
        <w:t>Step 3: P</w:t>
      </w:r>
      <w:r w:rsidR="001D5919">
        <w:t xml:space="preserve">SCCH/PSSCH RX UE </w:t>
      </w:r>
      <w:r>
        <w:t>avoid</w:t>
      </w:r>
      <w:r w:rsidR="001D5919">
        <w:t>s</w:t>
      </w:r>
      <w:r>
        <w:t xml:space="preserve"> transmitting PSFCH.</w:t>
      </w:r>
      <w:bookmarkEnd w:id="17"/>
      <w:r>
        <w:t xml:space="preserve"> </w:t>
      </w:r>
    </w:p>
    <w:p w14:paraId="163DDC39" w14:textId="77777777" w:rsidR="004F70DC" w:rsidRPr="00BA36D1" w:rsidRDefault="004F70DC" w:rsidP="00634C85">
      <w:pPr>
        <w:rPr>
          <w:rFonts w:cs="Arial"/>
          <w:sz w:val="15"/>
          <w:szCs w:val="18"/>
          <w:lang w:val="en-GB"/>
        </w:rPr>
      </w:pPr>
    </w:p>
    <w:p w14:paraId="06F5AA05" w14:textId="73A6E6E8" w:rsidR="00324FD1" w:rsidRPr="00794BA2" w:rsidRDefault="00040C68" w:rsidP="00794BA2">
      <w:pPr>
        <w:pStyle w:val="Heading4"/>
      </w:pPr>
      <w:r>
        <w:t>2</w:t>
      </w:r>
      <w:r w:rsidR="00324FD1">
        <w:t>.2.1.2</w:t>
      </w:r>
      <w:r w:rsidR="00324FD1">
        <w:tab/>
        <w:t>Alternative 2</w:t>
      </w:r>
    </w:p>
    <w:p w14:paraId="7C1F6BE1" w14:textId="06AF4B20" w:rsidR="00DA0C32" w:rsidRDefault="00DA0C32" w:rsidP="00C1622D">
      <w:pPr>
        <w:jc w:val="both"/>
        <w:rPr>
          <w:rFonts w:eastAsia="MS Mincho" w:cs="Arial"/>
          <w:szCs w:val="24"/>
          <w:lang w:eastAsia="x-none"/>
        </w:rPr>
      </w:pPr>
      <w:r>
        <w:rPr>
          <w:lang w:val="en-GB" w:eastAsia="x-none"/>
        </w:rPr>
        <w:t>The second proposed solution</w:t>
      </w:r>
      <w:r w:rsidR="007A5E25">
        <w:rPr>
          <w:lang w:val="en-GB" w:eastAsia="x-none"/>
        </w:rPr>
        <w:t xml:space="preserve"> is</w:t>
      </w:r>
      <w:r>
        <w:rPr>
          <w:lang w:val="en-GB" w:eastAsia="x-none"/>
        </w:rPr>
        <w:t xml:space="preserve"> denoted as Alt</w:t>
      </w:r>
      <w:r w:rsidR="00EA165B">
        <w:rPr>
          <w:lang w:val="en-GB" w:eastAsia="x-none"/>
        </w:rPr>
        <w:t xml:space="preserve"> </w:t>
      </w:r>
      <w:r>
        <w:rPr>
          <w:lang w:val="en-GB" w:eastAsia="x-none"/>
        </w:rPr>
        <w:t>2</w:t>
      </w:r>
      <w:r w:rsidR="00EA165B">
        <w:rPr>
          <w:lang w:val="en-GB" w:eastAsia="x-none"/>
        </w:rPr>
        <w:t xml:space="preserve">. This alternative considers the periodic configuration of </w:t>
      </w:r>
      <w:r>
        <w:rPr>
          <w:rFonts w:eastAsia="MS Mincho" w:cs="Arial"/>
          <w:szCs w:val="24"/>
          <w:lang w:eastAsia="x-none"/>
        </w:rPr>
        <w:t>PSFCH slots</w:t>
      </w:r>
      <w:r w:rsidR="00EA165B">
        <w:rPr>
          <w:rFonts w:eastAsia="MS Mincho" w:cs="Arial"/>
          <w:szCs w:val="24"/>
          <w:lang w:eastAsia="x-none"/>
        </w:rPr>
        <w:t xml:space="preserve">, i.e., </w:t>
      </w:r>
      <w:proofErr w:type="gramStart"/>
      <w:r w:rsidR="00EA165B">
        <w:rPr>
          <w:rFonts w:eastAsia="MS Mincho" w:cs="Arial"/>
          <w:szCs w:val="24"/>
          <w:lang w:eastAsia="x-none"/>
        </w:rPr>
        <w:t>similar to</w:t>
      </w:r>
      <w:proofErr w:type="gramEnd"/>
      <w:r w:rsidR="00EA165B">
        <w:rPr>
          <w:rFonts w:eastAsia="MS Mincho" w:cs="Arial"/>
          <w:szCs w:val="24"/>
          <w:lang w:eastAsia="x-none"/>
        </w:rPr>
        <w:t xml:space="preserve"> </w:t>
      </w:r>
      <w:r w:rsidR="00877003">
        <w:rPr>
          <w:rFonts w:eastAsia="MS Mincho" w:cs="Arial"/>
          <w:szCs w:val="24"/>
          <w:lang w:eastAsia="x-none"/>
        </w:rPr>
        <w:t>the</w:t>
      </w:r>
      <w:r w:rsidR="00EA165B">
        <w:rPr>
          <w:rFonts w:eastAsia="MS Mincho" w:cs="Arial"/>
          <w:szCs w:val="24"/>
          <w:lang w:eastAsia="x-none"/>
        </w:rPr>
        <w:t xml:space="preserve"> legacy NR SL configuration,</w:t>
      </w:r>
      <w:r>
        <w:rPr>
          <w:rFonts w:eastAsia="MS Mincho" w:cs="Arial"/>
          <w:szCs w:val="24"/>
          <w:lang w:eastAsia="x-none"/>
        </w:rPr>
        <w:t xml:space="preserve"> and then relying on LTE SL sensing behavior to avoid transmitting on NR slots. As we discus</w:t>
      </w:r>
      <w:r w:rsidR="000E24F9">
        <w:rPr>
          <w:rFonts w:eastAsia="MS Mincho" w:cs="Arial"/>
          <w:szCs w:val="24"/>
          <w:lang w:eastAsia="x-none"/>
        </w:rPr>
        <w:t>s</w:t>
      </w:r>
      <w:r>
        <w:rPr>
          <w:rFonts w:eastAsia="MS Mincho" w:cs="Arial"/>
          <w:szCs w:val="24"/>
          <w:lang w:eastAsia="x-none"/>
        </w:rPr>
        <w:t xml:space="preserve"> </w:t>
      </w:r>
      <w:r w:rsidR="00727F36">
        <w:rPr>
          <w:rFonts w:eastAsia="MS Mincho" w:cs="Arial"/>
          <w:szCs w:val="24"/>
          <w:lang w:eastAsia="x-none"/>
        </w:rPr>
        <w:t>later</w:t>
      </w:r>
      <w:r>
        <w:rPr>
          <w:rFonts w:eastAsia="MS Mincho" w:cs="Arial"/>
          <w:szCs w:val="24"/>
          <w:lang w:eastAsia="x-none"/>
        </w:rPr>
        <w:t xml:space="preserve"> in this section, </w:t>
      </w:r>
      <w:r w:rsidR="000E24F9">
        <w:rPr>
          <w:rFonts w:eastAsia="MS Mincho" w:cs="Arial"/>
          <w:szCs w:val="24"/>
          <w:lang w:eastAsia="x-none"/>
        </w:rPr>
        <w:t xml:space="preserve">the </w:t>
      </w:r>
      <w:r>
        <w:rPr>
          <w:rFonts w:eastAsia="MS Mincho" w:cs="Arial"/>
          <w:szCs w:val="24"/>
          <w:lang w:eastAsia="x-none"/>
        </w:rPr>
        <w:t>LTE SL UE</w:t>
      </w:r>
      <w:r w:rsidR="000E24F9">
        <w:rPr>
          <w:rFonts w:eastAsia="MS Mincho" w:cs="Arial"/>
          <w:szCs w:val="24"/>
          <w:lang w:eastAsia="x-none"/>
        </w:rPr>
        <w:t>s</w:t>
      </w:r>
      <w:r>
        <w:rPr>
          <w:rFonts w:eastAsia="MS Mincho" w:cs="Arial"/>
          <w:szCs w:val="24"/>
          <w:lang w:eastAsia="x-none"/>
        </w:rPr>
        <w:t xml:space="preserve"> can avoid transmitting on resources that have high RSSI values</w:t>
      </w:r>
      <w:r w:rsidR="000E24F9">
        <w:rPr>
          <w:rFonts w:eastAsia="MS Mincho" w:cs="Arial"/>
          <w:szCs w:val="24"/>
          <w:lang w:eastAsia="x-none"/>
        </w:rPr>
        <w:t xml:space="preserve"> using energy detection mechanisms</w:t>
      </w:r>
      <w:r>
        <w:rPr>
          <w:rFonts w:eastAsia="MS Mincho" w:cs="Arial"/>
          <w:szCs w:val="24"/>
          <w:lang w:eastAsia="x-none"/>
        </w:rPr>
        <w:t>. Thus, the second solution is preferred as it provides the benefit of having PSFCH transmission</w:t>
      </w:r>
      <w:r w:rsidR="000E24F9">
        <w:rPr>
          <w:rFonts w:eastAsia="MS Mincho" w:cs="Arial"/>
          <w:szCs w:val="24"/>
          <w:lang w:eastAsia="x-none"/>
        </w:rPr>
        <w:t xml:space="preserve"> which is one of the fundamental functionalities of NR SL</w:t>
      </w:r>
      <w:r>
        <w:rPr>
          <w:rFonts w:eastAsia="MS Mincho" w:cs="Arial"/>
          <w:szCs w:val="24"/>
          <w:lang w:eastAsia="x-none"/>
        </w:rPr>
        <w:t>.</w:t>
      </w:r>
      <w:r w:rsidR="008844BD">
        <w:rPr>
          <w:rFonts w:eastAsia="MS Mincho" w:cs="Arial"/>
          <w:szCs w:val="24"/>
          <w:lang w:eastAsia="x-none"/>
        </w:rPr>
        <w:t xml:space="preserve"> Clearly, for the solution to be functional, there must be some NR slots without PSFCH resources too (i.e., PSFCH periodicity</w:t>
      </w:r>
      <w:r w:rsidR="00FE3ECD">
        <w:rPr>
          <w:rFonts w:eastAsia="MS Mincho" w:cs="Arial"/>
          <w:szCs w:val="24"/>
          <w:lang w:eastAsia="x-none"/>
        </w:rPr>
        <w:t xml:space="preserve"> 1 should not be used).</w:t>
      </w:r>
    </w:p>
    <w:p w14:paraId="473D0464" w14:textId="4DD3B947" w:rsidR="00F4412E" w:rsidRPr="006742D0" w:rsidRDefault="001D1C3A" w:rsidP="006742D0">
      <w:pPr>
        <w:pStyle w:val="Proposal"/>
      </w:pPr>
      <w:bookmarkStart w:id="18" w:name="_Toc118727553"/>
      <w:r>
        <w:t xml:space="preserve">Dynamic co-channel coexistence is based on having </w:t>
      </w:r>
      <w:r w:rsidR="00F4412E" w:rsidRPr="00F4412E">
        <w:t>NR SL UEs us</w:t>
      </w:r>
      <w:r w:rsidR="000E24F9">
        <w:t>ing</w:t>
      </w:r>
      <w:r w:rsidR="00F4412E" w:rsidRPr="00F4412E">
        <w:t xml:space="preserve"> a periodically repeating set of PSFCH slots</w:t>
      </w:r>
      <w:r w:rsidR="000E24F9">
        <w:t>.</w:t>
      </w:r>
      <w:bookmarkEnd w:id="18"/>
    </w:p>
    <w:p w14:paraId="5C7AA122" w14:textId="4E77A73E" w:rsidR="00DA0C32" w:rsidRPr="00E13131" w:rsidRDefault="00DB1400" w:rsidP="00DA0C32">
      <w:pPr>
        <w:pStyle w:val="Proposal"/>
        <w:rPr>
          <w:rFonts w:eastAsia="MS Mincho" w:cs="Arial"/>
          <w:szCs w:val="24"/>
          <w:lang w:eastAsia="x-none"/>
        </w:rPr>
      </w:pPr>
      <w:bookmarkStart w:id="19" w:name="_Toc118727554"/>
      <w:r>
        <w:t xml:space="preserve">In designing dynamic co-channel coexistence solutions, </w:t>
      </w:r>
      <w:r w:rsidR="00FE3ECD">
        <w:t xml:space="preserve">RAN1 </w:t>
      </w:r>
      <w:r w:rsidR="00A12DED">
        <w:t xml:space="preserve">support Alt.2 </w:t>
      </w:r>
      <w:proofErr w:type="gramStart"/>
      <w:r w:rsidR="00FE3ECD">
        <w:t>assum</w:t>
      </w:r>
      <w:r w:rsidR="00A12DED">
        <w:t>ing</w:t>
      </w:r>
      <w:r w:rsidR="00FE3ECD">
        <w:t xml:space="preserve"> that</w:t>
      </w:r>
      <w:proofErr w:type="gramEnd"/>
      <w:r w:rsidR="00FE3ECD">
        <w:t xml:space="preserve"> the</w:t>
      </w:r>
      <w:r w:rsidR="00A12DED">
        <w:t xml:space="preserve"> resou</w:t>
      </w:r>
      <w:r w:rsidR="000E24F9">
        <w:t>r</w:t>
      </w:r>
      <w:r w:rsidR="00A12DED">
        <w:t>ce</w:t>
      </w:r>
      <w:r w:rsidR="00FE3ECD">
        <w:t xml:space="preserve"> pool configuration defines</w:t>
      </w:r>
      <w:r w:rsidR="00DA0C32">
        <w:t xml:space="preserve"> PSFCH periodicity </w:t>
      </w:r>
      <w:r w:rsidR="00A12DED">
        <w:t xml:space="preserve">of </w:t>
      </w:r>
      <w:r w:rsidR="00DA0C32">
        <w:t>2</w:t>
      </w:r>
      <w:r w:rsidR="00FE3ECD">
        <w:t xml:space="preserve"> or</w:t>
      </w:r>
      <w:r w:rsidR="00DA0C32">
        <w:t xml:space="preserve"> 4</w:t>
      </w:r>
      <w:r w:rsidR="00A12DED">
        <w:t xml:space="preserve"> slots</w:t>
      </w:r>
      <w:r w:rsidR="00DA0C32">
        <w:t>.</w:t>
      </w:r>
      <w:bookmarkEnd w:id="19"/>
      <w:r w:rsidR="00DA0C32">
        <w:t xml:space="preserve"> </w:t>
      </w:r>
    </w:p>
    <w:p w14:paraId="3C436862" w14:textId="2829A5CB" w:rsidR="003352AB" w:rsidRPr="00D21F59" w:rsidRDefault="00106D36">
      <w:pPr>
        <w:jc w:val="both"/>
        <w:rPr>
          <w:rFonts w:cs="Arial"/>
          <w:szCs w:val="20"/>
          <w:lang w:val="en-GB" w:eastAsia="ja-JP"/>
        </w:rPr>
      </w:pPr>
      <w:r>
        <w:rPr>
          <w:lang w:eastAsia="ja-JP"/>
        </w:rPr>
        <w:t>Having clarified these preliminary aspects</w:t>
      </w:r>
      <w:r w:rsidR="00EE1BF1">
        <w:rPr>
          <w:lang w:eastAsia="ja-JP"/>
        </w:rPr>
        <w:t xml:space="preserve">, we describe the different aspects </w:t>
      </w:r>
      <w:r w:rsidR="00A0472A">
        <w:rPr>
          <w:lang w:eastAsia="ja-JP"/>
        </w:rPr>
        <w:t xml:space="preserve">that are part of the solution according to the design principles in the preceding two proposals. </w:t>
      </w:r>
      <w:r w:rsidR="00E0107F">
        <w:rPr>
          <w:lang w:eastAsia="ja-JP"/>
        </w:rPr>
        <w:t>In this solution</w:t>
      </w:r>
      <w:r w:rsidR="00296D31" w:rsidRPr="00F45384">
        <w:rPr>
          <w:rFonts w:cs="Arial"/>
          <w:szCs w:val="20"/>
          <w:lang w:val="en-GB" w:eastAsia="ja-JP"/>
        </w:rPr>
        <w:t xml:space="preserve"> two overlapping pools are configured:</w:t>
      </w:r>
    </w:p>
    <w:p w14:paraId="23966ED7" w14:textId="2C4FBE78" w:rsidR="00296D31" w:rsidRPr="00F7224F" w:rsidRDefault="00296D31" w:rsidP="00A45730">
      <w:pPr>
        <w:pStyle w:val="ListParagraph"/>
        <w:numPr>
          <w:ilvl w:val="0"/>
          <w:numId w:val="19"/>
        </w:numPr>
        <w:jc w:val="both"/>
        <w:rPr>
          <w:rFonts w:ascii="Arial" w:hAnsi="Arial" w:cs="Arial"/>
          <w:szCs w:val="20"/>
          <w:lang w:val="en-GB" w:eastAsia="ja-JP"/>
        </w:rPr>
      </w:pPr>
      <w:r w:rsidRPr="00085DBB">
        <w:rPr>
          <w:rFonts w:ascii="Arial" w:hAnsi="Arial" w:cs="Arial"/>
          <w:sz w:val="20"/>
          <w:szCs w:val="20"/>
          <w:lang w:val="en-GB" w:eastAsia="ja-JP"/>
        </w:rPr>
        <w:t>From an LTE perspective, all resources (in time/frequency) are configured for LTE transmissions</w:t>
      </w:r>
      <w:r w:rsidR="008E7E82" w:rsidRPr="00085DBB">
        <w:rPr>
          <w:rFonts w:ascii="Arial" w:hAnsi="Arial" w:cs="Arial"/>
          <w:sz w:val="20"/>
          <w:szCs w:val="20"/>
          <w:lang w:val="en-GB" w:eastAsia="ja-JP"/>
        </w:rPr>
        <w:t>.</w:t>
      </w:r>
    </w:p>
    <w:p w14:paraId="61280FAE" w14:textId="2716AF4C" w:rsidR="003352AB" w:rsidRPr="00085DBB" w:rsidRDefault="00296D31" w:rsidP="00A45730">
      <w:pPr>
        <w:pStyle w:val="ListParagraph"/>
        <w:numPr>
          <w:ilvl w:val="0"/>
          <w:numId w:val="19"/>
        </w:numPr>
        <w:jc w:val="both"/>
        <w:rPr>
          <w:rFonts w:ascii="Arial" w:hAnsi="Arial" w:cs="Arial"/>
          <w:sz w:val="20"/>
          <w:szCs w:val="20"/>
          <w:lang w:val="en-GB" w:eastAsia="ja-JP"/>
        </w:rPr>
      </w:pPr>
      <w:r w:rsidRPr="00085DBB">
        <w:rPr>
          <w:rFonts w:ascii="Arial" w:hAnsi="Arial" w:cs="Arial"/>
          <w:sz w:val="20"/>
          <w:szCs w:val="20"/>
          <w:lang w:val="en-GB" w:eastAsia="ja-JP"/>
        </w:rPr>
        <w:t>From an NR perspective, all resources</w:t>
      </w:r>
      <w:r w:rsidR="002C0ABD" w:rsidRPr="00085DBB">
        <w:rPr>
          <w:rFonts w:ascii="Arial" w:hAnsi="Arial" w:cs="Arial"/>
          <w:sz w:val="20"/>
          <w:szCs w:val="20"/>
          <w:lang w:val="en-GB" w:eastAsia="ja-JP"/>
        </w:rPr>
        <w:t xml:space="preserve"> (in tim</w:t>
      </w:r>
      <w:r w:rsidR="008E7E82" w:rsidRPr="00085DBB">
        <w:rPr>
          <w:rFonts w:ascii="Arial" w:hAnsi="Arial" w:cs="Arial"/>
          <w:sz w:val="20"/>
          <w:szCs w:val="20"/>
          <w:lang w:val="en-GB" w:eastAsia="ja-JP"/>
        </w:rPr>
        <w:t>e/frequency) are configured for NR transmissions.</w:t>
      </w:r>
    </w:p>
    <w:p w14:paraId="02698832" w14:textId="24085188" w:rsidR="00AE3028" w:rsidRPr="00085DBB" w:rsidRDefault="00525934" w:rsidP="00AE3028">
      <w:pPr>
        <w:spacing w:before="240"/>
        <w:jc w:val="both"/>
        <w:rPr>
          <w:rFonts w:cs="Arial"/>
          <w:szCs w:val="20"/>
          <w:lang w:val="en-GB" w:eastAsia="ja-JP"/>
        </w:rPr>
      </w:pPr>
      <w:r w:rsidRPr="008518F4">
        <w:rPr>
          <w:rFonts w:cs="Arial"/>
          <w:szCs w:val="20"/>
          <w:lang w:val="en-GB" w:eastAsia="ja-JP"/>
        </w:rPr>
        <w:t>F</w:t>
      </w:r>
      <w:r w:rsidRPr="00EB4634">
        <w:rPr>
          <w:rFonts w:cs="Arial"/>
          <w:szCs w:val="20"/>
          <w:lang w:val="en-GB" w:eastAsia="ja-JP"/>
        </w:rPr>
        <w:t>or Mode</w:t>
      </w:r>
      <w:r w:rsidR="006510CD">
        <w:rPr>
          <w:rFonts w:cs="Arial"/>
          <w:szCs w:val="20"/>
          <w:lang w:val="en-GB" w:eastAsia="ja-JP"/>
        </w:rPr>
        <w:t xml:space="preserve"> </w:t>
      </w:r>
      <w:r w:rsidRPr="00EB4634">
        <w:rPr>
          <w:rFonts w:cs="Arial"/>
          <w:szCs w:val="20"/>
          <w:lang w:val="en-GB" w:eastAsia="ja-JP"/>
        </w:rPr>
        <w:t xml:space="preserve">4 </w:t>
      </w:r>
      <w:r w:rsidR="00D420E9">
        <w:rPr>
          <w:rFonts w:cs="Arial"/>
          <w:szCs w:val="20"/>
          <w:lang w:val="en-GB" w:eastAsia="ja-JP"/>
        </w:rPr>
        <w:t>resource allocation</w:t>
      </w:r>
      <w:r w:rsidR="006510CD">
        <w:rPr>
          <w:rFonts w:cs="Arial"/>
          <w:szCs w:val="20"/>
          <w:lang w:val="en-GB" w:eastAsia="ja-JP"/>
        </w:rPr>
        <w:t xml:space="preserve"> in LTE</w:t>
      </w:r>
      <w:r w:rsidRPr="00EB4634">
        <w:rPr>
          <w:rFonts w:cs="Arial"/>
          <w:szCs w:val="20"/>
          <w:lang w:val="en-GB" w:eastAsia="ja-JP"/>
        </w:rPr>
        <w:t xml:space="preserve">, </w:t>
      </w:r>
      <w:r w:rsidR="00D06ECB" w:rsidRPr="00085DBB">
        <w:rPr>
          <w:rFonts w:cs="Arial"/>
          <w:szCs w:val="20"/>
          <w:lang w:val="en-GB" w:eastAsia="ja-JP"/>
        </w:rPr>
        <w:t>t</w:t>
      </w:r>
      <w:r w:rsidR="00AE3028" w:rsidRPr="00085DBB">
        <w:rPr>
          <w:rFonts w:cs="Arial"/>
          <w:szCs w:val="20"/>
          <w:lang w:val="en-GB" w:eastAsia="ja-JP"/>
        </w:rPr>
        <w:t xml:space="preserve">he </w:t>
      </w:r>
      <w:r w:rsidR="009B3E04" w:rsidRPr="00085DBB">
        <w:rPr>
          <w:rFonts w:cs="Arial"/>
          <w:szCs w:val="20"/>
          <w:lang w:val="en-GB" w:eastAsia="ja-JP"/>
        </w:rPr>
        <w:t>behaviour</w:t>
      </w:r>
      <w:r w:rsidR="00AE3028" w:rsidRPr="00085DBB">
        <w:rPr>
          <w:rFonts w:cs="Arial"/>
          <w:szCs w:val="20"/>
          <w:lang w:val="en-GB" w:eastAsia="ja-JP"/>
        </w:rPr>
        <w:t xml:space="preserve"> of LTE UEs is the one specified in Rel-14/15</w:t>
      </w:r>
      <w:r w:rsidR="00B46A8F" w:rsidRPr="00085DBB">
        <w:rPr>
          <w:rFonts w:cs="Arial"/>
          <w:szCs w:val="20"/>
          <w:lang w:val="en-GB" w:eastAsia="ja-JP"/>
        </w:rPr>
        <w:t xml:space="preserve">. For typical LTE </w:t>
      </w:r>
      <w:r w:rsidR="001C4DB0" w:rsidRPr="00085DBB">
        <w:rPr>
          <w:rFonts w:cs="Arial"/>
          <w:szCs w:val="20"/>
          <w:lang w:val="en-GB" w:eastAsia="ja-JP"/>
        </w:rPr>
        <w:t>transmissions (i.e., periodic</w:t>
      </w:r>
      <w:r w:rsidR="00C3466D" w:rsidRPr="00085DBB">
        <w:rPr>
          <w:rFonts w:cs="Arial"/>
          <w:szCs w:val="20"/>
          <w:lang w:val="en-GB" w:eastAsia="ja-JP"/>
        </w:rPr>
        <w:t xml:space="preserve"> at intervals of 100 </w:t>
      </w:r>
      <w:proofErr w:type="spellStart"/>
      <w:r w:rsidR="00C3466D" w:rsidRPr="00085DBB">
        <w:rPr>
          <w:rFonts w:cs="Arial"/>
          <w:szCs w:val="20"/>
          <w:lang w:val="en-GB" w:eastAsia="ja-JP"/>
        </w:rPr>
        <w:t>ms</w:t>
      </w:r>
      <w:proofErr w:type="spellEnd"/>
      <w:r w:rsidR="00C3466D" w:rsidRPr="00085DBB">
        <w:rPr>
          <w:rFonts w:cs="Arial"/>
          <w:szCs w:val="20"/>
          <w:lang w:val="en-GB" w:eastAsia="ja-JP"/>
        </w:rPr>
        <w:t xml:space="preserve"> or more), t</w:t>
      </w:r>
      <w:r w:rsidR="008B6E9C">
        <w:rPr>
          <w:rFonts w:cs="Arial"/>
          <w:szCs w:val="20"/>
          <w:lang w:val="en-GB" w:eastAsia="ja-JP"/>
        </w:rPr>
        <w:t xml:space="preserve">he essence of the </w:t>
      </w:r>
      <w:r w:rsidR="00602C2B">
        <w:rPr>
          <w:rFonts w:cs="Arial"/>
          <w:szCs w:val="20"/>
          <w:lang w:val="en-GB" w:eastAsia="ja-JP"/>
        </w:rPr>
        <w:t>se</w:t>
      </w:r>
      <w:r w:rsidR="006944BC">
        <w:rPr>
          <w:rFonts w:cs="Arial"/>
          <w:szCs w:val="20"/>
          <w:lang w:val="en-GB" w:eastAsia="ja-JP"/>
        </w:rPr>
        <w:t>nsing procedure consists of</w:t>
      </w:r>
      <w:r w:rsidR="00D06ECB" w:rsidRPr="00085DBB">
        <w:rPr>
          <w:rFonts w:cs="Arial"/>
          <w:szCs w:val="20"/>
          <w:lang w:val="en-GB" w:eastAsia="ja-JP"/>
        </w:rPr>
        <w:t>:</w:t>
      </w:r>
    </w:p>
    <w:p w14:paraId="5B5C8344" w14:textId="7A7FC27D" w:rsidR="00D06ECB" w:rsidRPr="00130CBE" w:rsidRDefault="003E7654" w:rsidP="00A45730">
      <w:pPr>
        <w:pStyle w:val="ListParagraph"/>
        <w:numPr>
          <w:ilvl w:val="0"/>
          <w:numId w:val="20"/>
        </w:numPr>
        <w:jc w:val="both"/>
        <w:rPr>
          <w:rFonts w:ascii="Arial" w:hAnsi="Arial" w:cs="Arial"/>
          <w:sz w:val="20"/>
          <w:szCs w:val="20"/>
          <w:lang w:val="en-GB" w:eastAsia="ja-JP"/>
        </w:rPr>
      </w:pPr>
      <w:r>
        <w:rPr>
          <w:rFonts w:ascii="Arial" w:hAnsi="Arial" w:cs="Arial"/>
          <w:sz w:val="20"/>
          <w:szCs w:val="20"/>
          <w:u w:val="single"/>
          <w:lang w:val="en-GB" w:eastAsia="ja-JP"/>
        </w:rPr>
        <w:t>Resource e</w:t>
      </w:r>
      <w:r w:rsidRPr="00130CBE">
        <w:rPr>
          <w:rFonts w:ascii="Arial" w:hAnsi="Arial" w:cs="Arial"/>
          <w:sz w:val="20"/>
          <w:szCs w:val="20"/>
          <w:u w:val="single"/>
          <w:lang w:val="en-GB" w:eastAsia="ja-JP"/>
        </w:rPr>
        <w:t>xclusion based on SCI detection.</w:t>
      </w:r>
      <w:r>
        <w:rPr>
          <w:rFonts w:ascii="Arial" w:hAnsi="Arial" w:cs="Arial"/>
          <w:sz w:val="20"/>
          <w:szCs w:val="20"/>
          <w:lang w:val="en-GB" w:eastAsia="ja-JP"/>
        </w:rPr>
        <w:t xml:space="preserve"> </w:t>
      </w:r>
      <w:r w:rsidR="00D06ECB" w:rsidRPr="00130CBE">
        <w:rPr>
          <w:rFonts w:ascii="Arial" w:hAnsi="Arial" w:cs="Arial"/>
          <w:sz w:val="20"/>
          <w:szCs w:val="20"/>
          <w:lang w:val="en-GB" w:eastAsia="ja-JP"/>
        </w:rPr>
        <w:t>Detecting SCI (from LTE transmissions)</w:t>
      </w:r>
      <w:r w:rsidR="00F04E07" w:rsidRPr="00130CBE">
        <w:rPr>
          <w:rFonts w:ascii="Arial" w:hAnsi="Arial" w:cs="Arial"/>
          <w:sz w:val="20"/>
          <w:szCs w:val="20"/>
          <w:lang w:val="en-GB" w:eastAsia="ja-JP"/>
        </w:rPr>
        <w:t>, performing associated PSSCH-RSRP measurements</w:t>
      </w:r>
      <w:r w:rsidR="00426586" w:rsidRPr="00130CBE">
        <w:rPr>
          <w:rFonts w:ascii="Arial" w:hAnsi="Arial" w:cs="Arial"/>
          <w:sz w:val="20"/>
          <w:szCs w:val="20"/>
          <w:lang w:val="en-GB" w:eastAsia="ja-JP"/>
        </w:rPr>
        <w:t xml:space="preserve"> and excluding</w:t>
      </w:r>
      <w:r w:rsidR="00F241F7" w:rsidRPr="00130CBE">
        <w:rPr>
          <w:rFonts w:ascii="Arial" w:hAnsi="Arial" w:cs="Arial"/>
          <w:sz w:val="20"/>
          <w:szCs w:val="20"/>
          <w:lang w:val="en-GB" w:eastAsia="ja-JP"/>
        </w:rPr>
        <w:t xml:space="preserve"> reserved resources</w:t>
      </w:r>
      <w:r w:rsidR="00A5315A" w:rsidRPr="00130CBE">
        <w:rPr>
          <w:rFonts w:ascii="Arial" w:hAnsi="Arial" w:cs="Arial"/>
          <w:sz w:val="20"/>
          <w:szCs w:val="20"/>
          <w:lang w:val="en-GB" w:eastAsia="ja-JP"/>
        </w:rPr>
        <w:t xml:space="preserve"> (cf. </w:t>
      </w:r>
      <w:r w:rsidR="00A5315A" w:rsidRPr="008A6B97">
        <w:rPr>
          <w:rFonts w:ascii="Arial" w:hAnsi="Arial" w:cs="Arial"/>
          <w:sz w:val="20"/>
          <w:szCs w:val="20"/>
          <w:lang w:val="en-GB" w:eastAsia="ja-JP"/>
        </w:rPr>
        <w:t>Step 6 in</w:t>
      </w:r>
      <w:r w:rsidR="004B1149" w:rsidRPr="008A6B97">
        <w:rPr>
          <w:rFonts w:ascii="Arial" w:hAnsi="Arial" w:cs="Arial"/>
          <w:sz w:val="20"/>
          <w:szCs w:val="20"/>
          <w:lang w:val="en-GB" w:eastAsia="ja-JP"/>
        </w:rPr>
        <w:t xml:space="preserve"> Table 2</w:t>
      </w:r>
      <w:r w:rsidR="00FD10FA" w:rsidRPr="005212BF">
        <w:rPr>
          <w:rFonts w:ascii="Arial" w:hAnsi="Arial" w:cs="Arial"/>
          <w:sz w:val="20"/>
          <w:szCs w:val="20"/>
          <w:lang w:val="en-GB" w:eastAsia="ja-JP"/>
        </w:rPr>
        <w:t>).</w:t>
      </w:r>
    </w:p>
    <w:p w14:paraId="0357F989" w14:textId="3020E198" w:rsidR="00A41CBC" w:rsidRPr="008A6B97" w:rsidRDefault="003E7654" w:rsidP="00A45730">
      <w:pPr>
        <w:pStyle w:val="ListParagraph"/>
        <w:numPr>
          <w:ilvl w:val="0"/>
          <w:numId w:val="20"/>
        </w:numPr>
        <w:jc w:val="both"/>
        <w:rPr>
          <w:rFonts w:ascii="Arial" w:hAnsi="Arial" w:cs="Arial"/>
          <w:szCs w:val="20"/>
          <w:lang w:val="en-GB" w:eastAsia="ja-JP"/>
        </w:rPr>
      </w:pPr>
      <w:r>
        <w:rPr>
          <w:rFonts w:ascii="Arial" w:hAnsi="Arial" w:cs="Arial"/>
          <w:sz w:val="20"/>
          <w:szCs w:val="20"/>
          <w:u w:val="single"/>
          <w:lang w:val="en-GB" w:eastAsia="ja-JP"/>
        </w:rPr>
        <w:t>Resource e</w:t>
      </w:r>
      <w:r w:rsidRPr="00130CBE">
        <w:rPr>
          <w:rFonts w:ascii="Arial" w:hAnsi="Arial" w:cs="Arial"/>
          <w:sz w:val="20"/>
          <w:szCs w:val="20"/>
          <w:u w:val="single"/>
          <w:lang w:val="en-GB" w:eastAsia="ja-JP"/>
        </w:rPr>
        <w:t>xclusion based on RSSI averages</w:t>
      </w:r>
      <w:r>
        <w:rPr>
          <w:rFonts w:ascii="Arial" w:hAnsi="Arial" w:cs="Arial"/>
          <w:sz w:val="20"/>
          <w:szCs w:val="20"/>
          <w:lang w:val="en-GB" w:eastAsia="ja-JP"/>
        </w:rPr>
        <w:t xml:space="preserve">. </w:t>
      </w:r>
      <w:r w:rsidR="000B7F51" w:rsidRPr="00130CBE">
        <w:rPr>
          <w:rFonts w:ascii="Arial" w:hAnsi="Arial" w:cs="Arial"/>
          <w:sz w:val="20"/>
          <w:szCs w:val="20"/>
          <w:lang w:val="en-GB" w:eastAsia="ja-JP"/>
        </w:rPr>
        <w:t xml:space="preserve">Ranking the remaining </w:t>
      </w:r>
      <w:r w:rsidR="009F16C7" w:rsidRPr="00130CBE">
        <w:rPr>
          <w:rFonts w:ascii="Arial" w:hAnsi="Arial" w:cs="Arial"/>
          <w:sz w:val="20"/>
          <w:szCs w:val="20"/>
          <w:lang w:val="en-GB" w:eastAsia="ja-JP"/>
        </w:rPr>
        <w:t xml:space="preserve">resources in terms of the </w:t>
      </w:r>
      <w:r w:rsidR="00F36C31" w:rsidRPr="00130CBE">
        <w:rPr>
          <w:rFonts w:ascii="Arial" w:hAnsi="Arial" w:cs="Arial"/>
          <w:sz w:val="20"/>
          <w:szCs w:val="20"/>
          <w:lang w:val="en-GB" w:eastAsia="ja-JP"/>
        </w:rPr>
        <w:t xml:space="preserve">averaged </w:t>
      </w:r>
      <w:r w:rsidR="009F16C7" w:rsidRPr="00130CBE">
        <w:rPr>
          <w:rFonts w:ascii="Arial" w:hAnsi="Arial" w:cs="Arial"/>
          <w:sz w:val="20"/>
          <w:szCs w:val="20"/>
          <w:lang w:val="en-GB" w:eastAsia="ja-JP"/>
        </w:rPr>
        <w:t>S-RSSI measurement</w:t>
      </w:r>
      <w:r w:rsidR="00F36C31" w:rsidRPr="00130CBE">
        <w:rPr>
          <w:rFonts w:ascii="Arial" w:hAnsi="Arial" w:cs="Arial"/>
          <w:sz w:val="20"/>
          <w:szCs w:val="20"/>
          <w:lang w:val="en-GB" w:eastAsia="ja-JP"/>
        </w:rPr>
        <w:t>s</w:t>
      </w:r>
      <w:r w:rsidR="00AC42F7" w:rsidRPr="00130CBE">
        <w:rPr>
          <w:rFonts w:ascii="Arial" w:hAnsi="Arial" w:cs="Arial"/>
          <w:sz w:val="20"/>
          <w:szCs w:val="20"/>
          <w:lang w:val="en-GB" w:eastAsia="ja-JP"/>
        </w:rPr>
        <w:t xml:space="preserve"> in subframes </w:t>
      </w:r>
      <m:oMath>
        <m:sSubSup>
          <m:sSubSupPr>
            <m:ctrlPr>
              <w:rPr>
                <w:rFonts w:ascii="Cambria Math" w:hAnsi="Cambria Math" w:cs="Arial"/>
                <w:i/>
                <w:sz w:val="20"/>
                <w:szCs w:val="20"/>
                <w:lang w:val="en-GB" w:eastAsia="ja-JP"/>
              </w:rPr>
            </m:ctrlPr>
          </m:sSubSupPr>
          <m:e>
            <m:r>
              <w:rPr>
                <w:rFonts w:ascii="Cambria Math" w:hAnsi="Cambria Math" w:cs="Arial"/>
                <w:sz w:val="20"/>
                <w:szCs w:val="20"/>
                <w:lang w:val="en-GB" w:eastAsia="ja-JP"/>
              </w:rPr>
              <m:t>t</m:t>
            </m:r>
          </m:e>
          <m:sub>
            <m:r>
              <w:rPr>
                <w:rFonts w:ascii="Cambria Math" w:hAnsi="Cambria Math" w:cs="Arial"/>
                <w:sz w:val="20"/>
                <w:szCs w:val="20"/>
                <w:lang w:val="en-GB" w:eastAsia="ja-JP"/>
              </w:rPr>
              <m:t>y-j*</m:t>
            </m:r>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P</m:t>
                </m:r>
              </m:e>
              <m:sub>
                <m:r>
                  <w:rPr>
                    <w:rFonts w:ascii="Cambria Math" w:hAnsi="Cambria Math" w:cs="Arial"/>
                    <w:sz w:val="20"/>
                    <w:szCs w:val="20"/>
                    <w:lang w:val="en-GB" w:eastAsia="ja-JP"/>
                  </w:rPr>
                  <m:t>step</m:t>
                </m:r>
              </m:sub>
            </m:sSub>
          </m:sub>
          <m:sup>
            <m:r>
              <w:rPr>
                <w:rFonts w:ascii="Cambria Math" w:hAnsi="Cambria Math" w:cs="Arial"/>
                <w:sz w:val="20"/>
                <w:szCs w:val="20"/>
                <w:lang w:val="en-GB" w:eastAsia="ja-JP"/>
              </w:rPr>
              <m:t>SL</m:t>
            </m:r>
          </m:sup>
        </m:sSubSup>
      </m:oMath>
      <w:r w:rsidR="008C2D76" w:rsidRPr="00130CBE">
        <w:rPr>
          <w:rFonts w:ascii="Arial" w:hAnsi="Arial" w:cs="Arial"/>
          <w:sz w:val="20"/>
          <w:szCs w:val="20"/>
          <w:lang w:val="en-GB" w:eastAsia="ja-JP"/>
        </w:rPr>
        <w:t xml:space="preserve"> for </w:t>
      </w:r>
      <m:oMath>
        <m:r>
          <w:rPr>
            <w:rFonts w:ascii="Cambria Math" w:hAnsi="Cambria Math" w:cs="Arial"/>
            <w:sz w:val="20"/>
            <w:szCs w:val="20"/>
            <w:lang w:val="en-GB" w:eastAsia="ja-JP"/>
          </w:rPr>
          <m:t>j∈</m:t>
        </m:r>
        <m:d>
          <m:dPr>
            <m:begChr m:val="{"/>
            <m:endChr m:val="}"/>
            <m:ctrlPr>
              <w:rPr>
                <w:rFonts w:ascii="Cambria Math" w:hAnsi="Cambria Math" w:cs="Arial"/>
                <w:i/>
                <w:sz w:val="20"/>
                <w:szCs w:val="20"/>
                <w:lang w:val="en-GB" w:eastAsia="ja-JP"/>
              </w:rPr>
            </m:ctrlPr>
          </m:dPr>
          <m:e>
            <m:r>
              <w:rPr>
                <w:rFonts w:ascii="Cambria Math" w:hAnsi="Cambria Math" w:cs="Arial"/>
                <w:sz w:val="20"/>
                <w:szCs w:val="20"/>
                <w:lang w:val="en-GB" w:eastAsia="ja-JP"/>
              </w:rPr>
              <m:t>1,…,10</m:t>
            </m:r>
          </m:e>
        </m:d>
      </m:oMath>
      <w:r w:rsidR="007805CF" w:rsidRPr="00130CBE">
        <w:rPr>
          <w:rFonts w:ascii="Arial" w:hAnsi="Arial" w:cs="Arial"/>
          <w:sz w:val="20"/>
          <w:szCs w:val="20"/>
          <w:lang w:val="en-GB" w:eastAsia="ja-JP"/>
        </w:rPr>
        <w:t xml:space="preserve"> </w:t>
      </w:r>
      <w:r w:rsidR="00FD10FA" w:rsidRPr="00130CBE">
        <w:rPr>
          <w:rFonts w:ascii="Arial" w:hAnsi="Arial" w:cs="Arial"/>
          <w:sz w:val="20"/>
          <w:szCs w:val="20"/>
          <w:lang w:val="en-GB" w:eastAsia="ja-JP"/>
        </w:rPr>
        <w:t xml:space="preserve">(cf. </w:t>
      </w:r>
      <w:r w:rsidR="00FD10FA" w:rsidRPr="005212BF">
        <w:rPr>
          <w:rFonts w:ascii="Arial" w:hAnsi="Arial" w:cs="Arial"/>
          <w:sz w:val="20"/>
          <w:szCs w:val="20"/>
          <w:lang w:val="en-GB" w:eastAsia="ja-JP"/>
        </w:rPr>
        <w:t>Step 8 in</w:t>
      </w:r>
      <w:r w:rsidR="004B1149" w:rsidRPr="005212BF">
        <w:rPr>
          <w:rFonts w:ascii="Arial" w:hAnsi="Arial" w:cs="Arial"/>
          <w:sz w:val="20"/>
          <w:szCs w:val="20"/>
          <w:lang w:val="en-GB" w:eastAsia="ja-JP"/>
        </w:rPr>
        <w:t xml:space="preserve"> Table 2</w:t>
      </w:r>
      <w:r w:rsidR="00FD10FA" w:rsidRPr="005212BF">
        <w:rPr>
          <w:rFonts w:ascii="Arial" w:hAnsi="Arial" w:cs="Arial"/>
          <w:sz w:val="20"/>
          <w:szCs w:val="20"/>
          <w:lang w:val="en-GB" w:eastAsia="ja-JP"/>
        </w:rPr>
        <w:t>)</w:t>
      </w:r>
      <w:r w:rsidR="00FD10FA" w:rsidRPr="00130CBE">
        <w:rPr>
          <w:rFonts w:ascii="Arial" w:hAnsi="Arial" w:cs="Arial"/>
          <w:sz w:val="20"/>
          <w:szCs w:val="20"/>
          <w:lang w:val="en-GB" w:eastAsia="ja-JP"/>
        </w:rPr>
        <w:t xml:space="preserve"> </w:t>
      </w:r>
      <w:r w:rsidR="007805CF" w:rsidRPr="00130CBE">
        <w:rPr>
          <w:rFonts w:ascii="Arial" w:hAnsi="Arial" w:cs="Arial"/>
          <w:sz w:val="20"/>
          <w:szCs w:val="20"/>
          <w:lang w:val="en-GB" w:eastAsia="ja-JP"/>
        </w:rPr>
        <w:t>and keeping only the 20% of resources with lowest average</w:t>
      </w:r>
      <w:r w:rsidR="001D6295" w:rsidRPr="00130CBE">
        <w:rPr>
          <w:rFonts w:ascii="Arial" w:hAnsi="Arial" w:cs="Arial"/>
          <w:sz w:val="20"/>
          <w:szCs w:val="20"/>
          <w:lang w:val="en-GB" w:eastAsia="ja-JP"/>
        </w:rPr>
        <w:t>d S-RSSI values</w:t>
      </w:r>
      <w:r w:rsidR="006B63AF" w:rsidRPr="00130CBE">
        <w:rPr>
          <w:rFonts w:ascii="Arial" w:hAnsi="Arial" w:cs="Arial"/>
          <w:sz w:val="20"/>
          <w:szCs w:val="20"/>
          <w:lang w:val="en-GB" w:eastAsia="ja-JP"/>
        </w:rPr>
        <w:t xml:space="preserve"> (i.e., discarding </w:t>
      </w:r>
      <w:r w:rsidR="00B46A8F" w:rsidRPr="00130CBE">
        <w:rPr>
          <w:rFonts w:ascii="Arial" w:hAnsi="Arial" w:cs="Arial"/>
          <w:sz w:val="20"/>
          <w:szCs w:val="20"/>
          <w:lang w:val="en-GB" w:eastAsia="ja-JP"/>
        </w:rPr>
        <w:t>th</w:t>
      </w:r>
      <w:r w:rsidR="00C3466D" w:rsidRPr="00130CBE">
        <w:rPr>
          <w:rFonts w:ascii="Arial" w:hAnsi="Arial" w:cs="Arial"/>
          <w:sz w:val="20"/>
          <w:szCs w:val="20"/>
          <w:lang w:val="en-GB" w:eastAsia="ja-JP"/>
        </w:rPr>
        <w:t xml:space="preserve">e resources with </w:t>
      </w:r>
      <w:r w:rsidR="0066491A" w:rsidRPr="00130CBE">
        <w:rPr>
          <w:rFonts w:ascii="Arial" w:hAnsi="Arial" w:cs="Arial"/>
          <w:sz w:val="20"/>
          <w:szCs w:val="20"/>
          <w:lang w:val="en-GB" w:eastAsia="ja-JP"/>
        </w:rPr>
        <w:t xml:space="preserve">highest </w:t>
      </w:r>
      <w:r w:rsidR="0029747B" w:rsidRPr="00130CBE">
        <w:rPr>
          <w:rFonts w:ascii="Arial" w:hAnsi="Arial" w:cs="Arial"/>
          <w:sz w:val="20"/>
          <w:szCs w:val="20"/>
          <w:lang w:val="en-GB" w:eastAsia="ja-JP"/>
        </w:rPr>
        <w:t>S-RSSI averages</w:t>
      </w:r>
      <w:r w:rsidR="00FD10FA" w:rsidRPr="00130CBE">
        <w:rPr>
          <w:rFonts w:ascii="Arial" w:hAnsi="Arial" w:cs="Arial"/>
          <w:sz w:val="20"/>
          <w:szCs w:val="20"/>
          <w:lang w:val="en-GB" w:eastAsia="ja-JP"/>
        </w:rPr>
        <w:t xml:space="preserve">, cf. </w:t>
      </w:r>
      <w:r w:rsidR="00FD10FA" w:rsidRPr="007A6EBA">
        <w:rPr>
          <w:rFonts w:ascii="Arial" w:hAnsi="Arial" w:cs="Arial"/>
          <w:sz w:val="20"/>
          <w:szCs w:val="20"/>
          <w:lang w:val="en-GB" w:eastAsia="ja-JP"/>
        </w:rPr>
        <w:t xml:space="preserve">Step </w:t>
      </w:r>
      <w:r w:rsidR="004870D5" w:rsidRPr="007A6EBA">
        <w:rPr>
          <w:rFonts w:ascii="Arial" w:hAnsi="Arial" w:cs="Arial"/>
          <w:sz w:val="20"/>
          <w:szCs w:val="20"/>
          <w:lang w:val="en-GB" w:eastAsia="ja-JP"/>
        </w:rPr>
        <w:t>9</w:t>
      </w:r>
      <w:r w:rsidR="00FD10FA" w:rsidRPr="008A6B97">
        <w:rPr>
          <w:rFonts w:ascii="Arial" w:hAnsi="Arial" w:cs="Arial"/>
          <w:sz w:val="20"/>
          <w:szCs w:val="20"/>
          <w:lang w:val="en-GB" w:eastAsia="ja-JP"/>
        </w:rPr>
        <w:t xml:space="preserve"> in</w:t>
      </w:r>
      <w:r w:rsidR="004B1149" w:rsidRPr="008A6B97">
        <w:rPr>
          <w:rFonts w:ascii="Arial" w:hAnsi="Arial" w:cs="Arial"/>
          <w:sz w:val="20"/>
          <w:szCs w:val="20"/>
          <w:lang w:val="en-GB" w:eastAsia="ja-JP"/>
        </w:rPr>
        <w:t xml:space="preserve"> Table 2</w:t>
      </w:r>
      <w:r w:rsidR="00642C2A" w:rsidRPr="005212BF">
        <w:rPr>
          <w:rFonts w:ascii="Arial" w:hAnsi="Arial" w:cs="Arial"/>
          <w:sz w:val="20"/>
          <w:szCs w:val="20"/>
          <w:lang w:val="en-GB" w:eastAsia="ja-JP"/>
        </w:rPr>
        <w:t>)</w:t>
      </w:r>
      <w:r w:rsidR="00A5315A" w:rsidRPr="005212BF">
        <w:rPr>
          <w:rFonts w:ascii="Arial" w:hAnsi="Arial" w:cs="Arial"/>
          <w:sz w:val="20"/>
          <w:szCs w:val="20"/>
          <w:lang w:val="en-GB" w:eastAsia="ja-JP"/>
        </w:rPr>
        <w:t>.</w:t>
      </w:r>
    </w:p>
    <w:p w14:paraId="4351702E" w14:textId="7E9224E7" w:rsidR="00711B29" w:rsidRPr="003A4715" w:rsidRDefault="00B92246" w:rsidP="008D65CD">
      <w:pPr>
        <w:spacing w:before="240"/>
        <w:jc w:val="both"/>
        <w:rPr>
          <w:rFonts w:cs="Arial"/>
          <w:szCs w:val="20"/>
          <w:lang w:val="en-GB" w:eastAsia="ja-JP"/>
        </w:rPr>
      </w:pPr>
      <w:r w:rsidRPr="005212BF">
        <w:rPr>
          <w:rFonts w:cs="Arial"/>
          <w:lang w:val="en-GB" w:eastAsia="ja-JP"/>
        </w:rPr>
        <w:t xml:space="preserve">The </w:t>
      </w:r>
      <w:r w:rsidRPr="00C13897">
        <w:rPr>
          <w:rFonts w:cs="Arial"/>
          <w:szCs w:val="20"/>
          <w:lang w:val="en-GB" w:eastAsia="ja-JP"/>
        </w:rPr>
        <w:t xml:space="preserve">original intention </w:t>
      </w:r>
      <w:r w:rsidR="008D65CD" w:rsidRPr="00EB4634">
        <w:rPr>
          <w:rFonts w:cs="Arial"/>
          <w:szCs w:val="20"/>
          <w:lang w:val="en-GB" w:eastAsia="ja-JP"/>
        </w:rPr>
        <w:t xml:space="preserve">of </w:t>
      </w:r>
      <w:r w:rsidR="0071399A" w:rsidRPr="00EB4634">
        <w:rPr>
          <w:rFonts w:cs="Arial"/>
          <w:szCs w:val="20"/>
          <w:lang w:val="en-GB" w:eastAsia="ja-JP"/>
        </w:rPr>
        <w:t>these</w:t>
      </w:r>
      <w:r w:rsidR="00F25A31" w:rsidRPr="00F443EC">
        <w:rPr>
          <w:rFonts w:cs="Arial"/>
          <w:szCs w:val="20"/>
          <w:lang w:val="en-GB" w:eastAsia="ja-JP"/>
        </w:rPr>
        <w:t xml:space="preserve"> two </w:t>
      </w:r>
      <w:r w:rsidR="00CF5522" w:rsidRPr="008601A9">
        <w:rPr>
          <w:rFonts w:cs="Arial"/>
          <w:szCs w:val="20"/>
          <w:lang w:val="en-GB" w:eastAsia="ja-JP"/>
        </w:rPr>
        <w:t>operations was to protect against</w:t>
      </w:r>
      <w:r w:rsidR="003A4715">
        <w:rPr>
          <w:rFonts w:cs="Arial"/>
          <w:szCs w:val="20"/>
          <w:lang w:val="en-GB" w:eastAsia="ja-JP"/>
        </w:rPr>
        <w:t xml:space="preserve"> collisions with</w:t>
      </w:r>
      <w:r w:rsidR="00CF5522" w:rsidRPr="008601A9">
        <w:rPr>
          <w:rFonts w:cs="Arial"/>
          <w:szCs w:val="20"/>
          <w:lang w:val="en-GB" w:eastAsia="ja-JP"/>
        </w:rPr>
        <w:t xml:space="preserve"> other LTE transmissions. Clearl</w:t>
      </w:r>
      <w:r w:rsidR="00EE6460" w:rsidRPr="00AF7C00">
        <w:rPr>
          <w:rFonts w:cs="Arial"/>
          <w:szCs w:val="20"/>
          <w:lang w:val="en-GB" w:eastAsia="ja-JP"/>
        </w:rPr>
        <w:t>y</w:t>
      </w:r>
      <w:r w:rsidR="00AB370F" w:rsidRPr="00AF7C00">
        <w:rPr>
          <w:rFonts w:cs="Arial"/>
          <w:szCs w:val="20"/>
          <w:lang w:val="en-GB" w:eastAsia="ja-JP"/>
        </w:rPr>
        <w:t xml:space="preserve">, </w:t>
      </w:r>
      <w:r w:rsidR="003E7654" w:rsidRPr="00F23499">
        <w:rPr>
          <w:rFonts w:cs="Arial"/>
          <w:szCs w:val="20"/>
          <w:lang w:val="en-GB" w:eastAsia="ja-JP"/>
        </w:rPr>
        <w:t xml:space="preserve">resource exclusion based on </w:t>
      </w:r>
      <w:r w:rsidR="00AB370F" w:rsidRPr="00F23499">
        <w:rPr>
          <w:rFonts w:cs="Arial"/>
          <w:szCs w:val="20"/>
          <w:lang w:val="en-GB" w:eastAsia="ja-JP"/>
        </w:rPr>
        <w:t>SCI detec</w:t>
      </w:r>
      <w:r w:rsidR="00AB370F" w:rsidRPr="00F45384">
        <w:rPr>
          <w:rFonts w:cs="Arial"/>
          <w:szCs w:val="20"/>
          <w:lang w:val="en-GB" w:eastAsia="ja-JP"/>
        </w:rPr>
        <w:t xml:space="preserve">tion cannot </w:t>
      </w:r>
      <w:r w:rsidR="00F27D2B" w:rsidRPr="00F45384">
        <w:rPr>
          <w:rFonts w:cs="Arial"/>
          <w:szCs w:val="20"/>
          <w:lang w:val="en-GB" w:eastAsia="ja-JP"/>
        </w:rPr>
        <w:t xml:space="preserve">protect against </w:t>
      </w:r>
      <w:r w:rsidR="007D77DA" w:rsidRPr="00F45384">
        <w:rPr>
          <w:rFonts w:cs="Arial"/>
          <w:szCs w:val="20"/>
          <w:lang w:val="en-GB" w:eastAsia="ja-JP"/>
        </w:rPr>
        <w:t>NR transmissions for they use a completely different SCI format.</w:t>
      </w:r>
      <w:r w:rsidR="00751AEC" w:rsidRPr="00D21F59">
        <w:rPr>
          <w:rFonts w:cs="Arial"/>
          <w:szCs w:val="20"/>
          <w:lang w:val="en-GB" w:eastAsia="ja-JP"/>
        </w:rPr>
        <w:t xml:space="preserve"> However,</w:t>
      </w:r>
      <w:r w:rsidR="003E7654" w:rsidRPr="00D21F59">
        <w:rPr>
          <w:rFonts w:cs="Arial"/>
          <w:szCs w:val="20"/>
          <w:lang w:val="en-GB" w:eastAsia="ja-JP"/>
        </w:rPr>
        <w:t xml:space="preserve"> resource exclusion based on </w:t>
      </w:r>
      <w:r w:rsidR="003E7654" w:rsidRPr="006D3C75">
        <w:rPr>
          <w:rFonts w:cs="Arial"/>
          <w:szCs w:val="20"/>
          <w:lang w:val="en-GB" w:eastAsia="ja-JP"/>
        </w:rPr>
        <w:t>RSSI averages</w:t>
      </w:r>
      <w:r w:rsidR="008359E1" w:rsidRPr="006D3C75">
        <w:rPr>
          <w:rFonts w:cs="Arial"/>
          <w:szCs w:val="20"/>
          <w:lang w:val="en-GB" w:eastAsia="ja-JP"/>
        </w:rPr>
        <w:t xml:space="preserve"> could in principle protect </w:t>
      </w:r>
      <w:r w:rsidR="00DA28B6" w:rsidRPr="006D3C75">
        <w:rPr>
          <w:rFonts w:cs="Arial"/>
          <w:szCs w:val="20"/>
          <w:lang w:val="en-GB" w:eastAsia="ja-JP"/>
        </w:rPr>
        <w:t>against periodic NR transmissions.</w:t>
      </w:r>
      <w:r w:rsidR="00682F9E" w:rsidRPr="007C3B60">
        <w:rPr>
          <w:rFonts w:cs="Arial"/>
          <w:szCs w:val="20"/>
          <w:lang w:val="en-GB" w:eastAsia="ja-JP"/>
        </w:rPr>
        <w:t xml:space="preserve"> Although the traffic pattern for advanced ITS services is not necessarily </w:t>
      </w:r>
      <w:r w:rsidR="00914E43" w:rsidRPr="007C3B60">
        <w:rPr>
          <w:rFonts w:cs="Arial"/>
          <w:szCs w:val="20"/>
          <w:lang w:val="en-GB" w:eastAsia="ja-JP"/>
        </w:rPr>
        <w:t>periodic</w:t>
      </w:r>
      <w:r w:rsidR="00BC3CDF" w:rsidRPr="001329FB">
        <w:rPr>
          <w:rFonts w:cs="Arial"/>
          <w:szCs w:val="20"/>
          <w:lang w:val="en-GB" w:eastAsia="ja-JP"/>
        </w:rPr>
        <w:t xml:space="preserve">, this feature may be useful </w:t>
      </w:r>
      <w:r w:rsidR="00A93D90" w:rsidRPr="00085DBB">
        <w:rPr>
          <w:rFonts w:cs="Arial"/>
          <w:szCs w:val="20"/>
          <w:lang w:val="en-GB" w:eastAsia="ja-JP"/>
        </w:rPr>
        <w:t>for p</w:t>
      </w:r>
      <w:r w:rsidR="00D06D17" w:rsidRPr="00085DBB">
        <w:rPr>
          <w:rFonts w:cs="Arial"/>
          <w:szCs w:val="20"/>
          <w:lang w:val="en-GB" w:eastAsia="ja-JP"/>
        </w:rPr>
        <w:t xml:space="preserve">reventing the use of </w:t>
      </w:r>
      <w:r w:rsidR="007B0ABF" w:rsidRPr="008B6E9C">
        <w:rPr>
          <w:rFonts w:cs="Arial"/>
          <w:szCs w:val="20"/>
          <w:lang w:val="en-GB" w:eastAsia="ja-JP"/>
        </w:rPr>
        <w:t>LTE subframes that overlap with NR slots that contain PSFCH resources</w:t>
      </w:r>
      <w:r w:rsidR="00196E6F" w:rsidRPr="00130CBE">
        <w:rPr>
          <w:rFonts w:cs="Arial"/>
          <w:szCs w:val="20"/>
          <w:lang w:val="en-GB" w:eastAsia="ja-JP"/>
        </w:rPr>
        <w:t>.</w:t>
      </w:r>
      <w:r w:rsidR="0066234F" w:rsidRPr="00130CBE">
        <w:rPr>
          <w:rFonts w:cs="Arial"/>
          <w:szCs w:val="20"/>
          <w:lang w:val="en-GB" w:eastAsia="ja-JP"/>
        </w:rPr>
        <w:t xml:space="preserve"> </w:t>
      </w:r>
    </w:p>
    <w:p w14:paraId="6AC101C7" w14:textId="2E2DA527" w:rsidR="00711B29" w:rsidRPr="00B3194F" w:rsidRDefault="00711B29" w:rsidP="008A6B97">
      <w:pPr>
        <w:jc w:val="both"/>
        <w:rPr>
          <w:rFonts w:cs="Arial"/>
          <w:szCs w:val="20"/>
          <w:lang w:val="en-GB" w:eastAsia="ja-JP"/>
        </w:rPr>
      </w:pPr>
      <w:r w:rsidRPr="00A92B65">
        <w:rPr>
          <w:rFonts w:cs="Arial"/>
          <w:szCs w:val="20"/>
          <w:lang w:val="en-GB" w:eastAsia="ja-JP"/>
        </w:rPr>
        <w:t>To assess the suitability of resource exclusion based on RSSI averages for prevent</w:t>
      </w:r>
      <w:r w:rsidR="005B728E" w:rsidRPr="00A92B65">
        <w:rPr>
          <w:rFonts w:cs="Arial"/>
          <w:szCs w:val="20"/>
          <w:lang w:val="en-GB" w:eastAsia="ja-JP"/>
        </w:rPr>
        <w:t xml:space="preserve">ing the use of LTE subframes that </w:t>
      </w:r>
      <w:r w:rsidR="005B728E" w:rsidRPr="00B3194F">
        <w:rPr>
          <w:rFonts w:cs="Arial"/>
          <w:szCs w:val="20"/>
          <w:lang w:val="en-GB" w:eastAsia="ja-JP"/>
        </w:rPr>
        <w:t>overlap with NR slots that contain PSFCH resources, it is necessary to note that:</w:t>
      </w:r>
    </w:p>
    <w:p w14:paraId="75F4E39D" w14:textId="1C87D6E9" w:rsidR="0053083C" w:rsidRPr="00C13897" w:rsidRDefault="00A642EC" w:rsidP="00A45730">
      <w:pPr>
        <w:pStyle w:val="ListParagraph"/>
        <w:numPr>
          <w:ilvl w:val="0"/>
          <w:numId w:val="22"/>
        </w:numPr>
        <w:jc w:val="both"/>
        <w:rPr>
          <w:rFonts w:ascii="Arial" w:hAnsi="Arial" w:cs="Arial"/>
          <w:sz w:val="20"/>
          <w:szCs w:val="20"/>
          <w:lang w:val="en-GB" w:eastAsia="ja-JP"/>
        </w:rPr>
      </w:pPr>
      <w:r w:rsidRPr="00C13897">
        <w:rPr>
          <w:rFonts w:ascii="Arial" w:hAnsi="Arial" w:cs="Arial"/>
          <w:sz w:val="20"/>
          <w:szCs w:val="20"/>
          <w:lang w:val="en-GB" w:eastAsia="ja-JP"/>
        </w:rPr>
        <w:t xml:space="preserve">NR </w:t>
      </w:r>
      <w:r w:rsidR="005B728E" w:rsidRPr="00A67609">
        <w:rPr>
          <w:rFonts w:ascii="Arial" w:hAnsi="Arial" w:cs="Arial"/>
          <w:sz w:val="20"/>
          <w:szCs w:val="20"/>
          <w:lang w:val="en-GB" w:eastAsia="ja-JP"/>
        </w:rPr>
        <w:t xml:space="preserve">PSFCH resources </w:t>
      </w:r>
      <w:r w:rsidR="00E332C7" w:rsidRPr="00A67609">
        <w:rPr>
          <w:rFonts w:ascii="Arial" w:hAnsi="Arial" w:cs="Arial"/>
          <w:sz w:val="20"/>
          <w:szCs w:val="20"/>
          <w:lang w:val="en-GB" w:eastAsia="ja-JP"/>
        </w:rPr>
        <w:t>can be</w:t>
      </w:r>
      <w:r w:rsidR="005B728E" w:rsidRPr="00A67609">
        <w:rPr>
          <w:rFonts w:ascii="Arial" w:hAnsi="Arial" w:cs="Arial"/>
          <w:sz w:val="20"/>
          <w:szCs w:val="20"/>
          <w:lang w:val="en-GB" w:eastAsia="ja-JP"/>
        </w:rPr>
        <w:t xml:space="preserve"> configured</w:t>
      </w:r>
      <w:r w:rsidR="00E332C7" w:rsidRPr="00A67609">
        <w:rPr>
          <w:rFonts w:ascii="Arial" w:hAnsi="Arial" w:cs="Arial"/>
          <w:sz w:val="20"/>
          <w:szCs w:val="20"/>
          <w:lang w:val="en-GB" w:eastAsia="ja-JP"/>
        </w:rPr>
        <w:t xml:space="preserve"> every 1, 2, or 4 slots</w:t>
      </w:r>
      <w:r w:rsidR="00FD3074" w:rsidRPr="00A67609">
        <w:rPr>
          <w:rFonts w:ascii="Arial" w:hAnsi="Arial" w:cs="Arial"/>
          <w:sz w:val="20"/>
          <w:szCs w:val="20"/>
          <w:lang w:val="en-GB" w:eastAsia="ja-JP"/>
        </w:rPr>
        <w:t xml:space="preserve"> (</w:t>
      </w:r>
      <m:oMath>
        <m:sSubSup>
          <m:sSubSupPr>
            <m:ctrlPr>
              <w:rPr>
                <w:rFonts w:ascii="Cambria Math" w:hAnsi="Cambria Math" w:cs="Arial"/>
                <w:i/>
                <w:sz w:val="20"/>
                <w:szCs w:val="20"/>
              </w:rPr>
            </m:ctrlPr>
          </m:sSubSupPr>
          <m:e>
            <m:r>
              <w:rPr>
                <w:rFonts w:ascii="Cambria Math" w:hAnsi="Cambria Math" w:cs="Arial"/>
                <w:sz w:val="20"/>
                <w:szCs w:val="20"/>
              </w:rPr>
              <m:t>N</m:t>
            </m:r>
          </m:e>
          <m:sub>
            <m:r>
              <m:rPr>
                <m:nor/>
              </m:rPr>
              <w:rPr>
                <w:rFonts w:ascii="Arial" w:hAnsi="Arial" w:cs="Arial"/>
                <w:sz w:val="20"/>
                <w:szCs w:val="20"/>
              </w:rPr>
              <m:t>PSSCH</m:t>
            </m:r>
            <m:ctrlPr>
              <w:rPr>
                <w:rFonts w:ascii="Cambria Math" w:hAnsi="Cambria Math" w:cs="Arial"/>
                <w:sz w:val="20"/>
                <w:szCs w:val="20"/>
              </w:rPr>
            </m:ctrlPr>
          </m:sub>
          <m:sup>
            <m:r>
              <m:rPr>
                <m:nor/>
              </m:rPr>
              <w:rPr>
                <w:rFonts w:ascii="Arial" w:hAnsi="Arial" w:cs="Arial"/>
                <w:sz w:val="20"/>
                <w:szCs w:val="20"/>
              </w:rPr>
              <m:t>PSFCH</m:t>
            </m:r>
            <m:ctrlPr>
              <w:rPr>
                <w:rFonts w:ascii="Cambria Math" w:hAnsi="Cambria Math" w:cs="Arial"/>
                <w:sz w:val="20"/>
                <w:szCs w:val="20"/>
              </w:rPr>
            </m:ctrlPr>
          </m:sup>
        </m:sSubSup>
      </m:oMath>
      <w:r w:rsidR="00451699" w:rsidRPr="00A67609">
        <w:rPr>
          <w:rFonts w:ascii="Arial" w:hAnsi="Arial" w:cs="Arial"/>
          <w:sz w:val="20"/>
          <w:szCs w:val="20"/>
          <w:lang w:val="en-GB"/>
        </w:rPr>
        <w:t>,</w:t>
      </w:r>
      <w:r w:rsidR="00FD3074" w:rsidRPr="00A67609">
        <w:rPr>
          <w:rFonts w:ascii="Arial" w:eastAsiaTheme="minorEastAsia" w:hAnsi="Arial" w:cs="Arial"/>
          <w:sz w:val="20"/>
          <w:szCs w:val="20"/>
        </w:rPr>
        <w:t xml:space="preserve"> provided by </w:t>
      </w:r>
      <w:proofErr w:type="spellStart"/>
      <w:r w:rsidR="00FD3074" w:rsidRPr="00A67609">
        <w:rPr>
          <w:rFonts w:ascii="Arial" w:hAnsi="Arial" w:cs="Arial"/>
          <w:i/>
          <w:iCs/>
          <w:sz w:val="20"/>
          <w:szCs w:val="20"/>
        </w:rPr>
        <w:t>sl</w:t>
      </w:r>
      <w:proofErr w:type="spellEnd"/>
      <w:r w:rsidR="00FD3074" w:rsidRPr="00A67609">
        <w:rPr>
          <w:rFonts w:ascii="Arial" w:hAnsi="Arial" w:cs="Arial"/>
          <w:i/>
          <w:iCs/>
          <w:sz w:val="20"/>
          <w:szCs w:val="20"/>
        </w:rPr>
        <w:t>-</w:t>
      </w:r>
      <w:r w:rsidR="00FD3074" w:rsidRPr="00A67609">
        <w:rPr>
          <w:rFonts w:ascii="Arial" w:hAnsi="Arial" w:cs="Arial"/>
          <w:i/>
          <w:sz w:val="20"/>
          <w:szCs w:val="20"/>
        </w:rPr>
        <w:t>PSFCH-Period</w:t>
      </w:r>
      <w:r w:rsidR="00FD3074" w:rsidRPr="00A67609">
        <w:rPr>
          <w:rFonts w:ascii="Arial" w:hAnsi="Arial" w:cs="Arial"/>
          <w:i/>
          <w:sz w:val="20"/>
          <w:szCs w:val="20"/>
          <w:lang w:val="en-GB"/>
        </w:rPr>
        <w:t>)</w:t>
      </w:r>
      <w:r w:rsidR="00E332C7" w:rsidRPr="00A67609">
        <w:rPr>
          <w:rFonts w:ascii="Arial" w:hAnsi="Arial" w:cs="Arial"/>
          <w:sz w:val="20"/>
          <w:szCs w:val="20"/>
          <w:lang w:val="en-GB" w:eastAsia="ja-JP"/>
        </w:rPr>
        <w:t>.</w:t>
      </w:r>
    </w:p>
    <w:p w14:paraId="476CAF94" w14:textId="285AB8E7" w:rsidR="005B728E" w:rsidRPr="00C13897" w:rsidRDefault="00940112" w:rsidP="00A45730">
      <w:pPr>
        <w:pStyle w:val="ListParagraph"/>
        <w:numPr>
          <w:ilvl w:val="1"/>
          <w:numId w:val="22"/>
        </w:numPr>
        <w:jc w:val="both"/>
        <w:rPr>
          <w:rFonts w:ascii="Arial" w:hAnsi="Arial" w:cs="Arial"/>
          <w:sz w:val="20"/>
          <w:szCs w:val="20"/>
          <w:lang w:val="en-GB" w:eastAsia="ja-JP"/>
        </w:rPr>
      </w:pPr>
      <w:r>
        <w:rPr>
          <w:rFonts w:ascii="Arial" w:hAnsi="Arial" w:cs="Arial"/>
          <w:sz w:val="20"/>
          <w:szCs w:val="20"/>
          <w:lang w:val="en-GB" w:eastAsia="ja-JP"/>
        </w:rPr>
        <w:lastRenderedPageBreak/>
        <w:t xml:space="preserve">As argued earlier, we focus on </w:t>
      </w:r>
      <m:oMath>
        <m:sSubSup>
          <m:sSubSupPr>
            <m:ctrlPr>
              <w:rPr>
                <w:rFonts w:ascii="Cambria Math" w:hAnsi="Cambria Math" w:cs="Arial"/>
                <w:i/>
                <w:sz w:val="20"/>
                <w:szCs w:val="20"/>
              </w:rPr>
            </m:ctrlPr>
          </m:sSubSupPr>
          <m:e>
            <m:r>
              <w:rPr>
                <w:rFonts w:ascii="Cambria Math" w:hAnsi="Cambria Math" w:cs="Arial"/>
                <w:sz w:val="20"/>
                <w:szCs w:val="20"/>
              </w:rPr>
              <m:t>N</m:t>
            </m:r>
          </m:e>
          <m:sub>
            <m:r>
              <m:rPr>
                <m:nor/>
              </m:rPr>
              <w:rPr>
                <w:rFonts w:ascii="Arial" w:hAnsi="Arial" w:cs="Arial"/>
                <w:sz w:val="20"/>
                <w:szCs w:val="20"/>
              </w:rPr>
              <m:t>PSSCH</m:t>
            </m:r>
            <m:ctrlPr>
              <w:rPr>
                <w:rFonts w:ascii="Cambria Math" w:hAnsi="Cambria Math" w:cs="Arial"/>
                <w:sz w:val="20"/>
                <w:szCs w:val="20"/>
              </w:rPr>
            </m:ctrlPr>
          </m:sub>
          <m:sup>
            <m:r>
              <m:rPr>
                <m:nor/>
              </m:rPr>
              <w:rPr>
                <w:rFonts w:ascii="Arial" w:hAnsi="Arial" w:cs="Arial"/>
                <w:sz w:val="20"/>
                <w:szCs w:val="20"/>
              </w:rPr>
              <m:t>PSFCH</m:t>
            </m:r>
            <m:ctrlPr>
              <w:rPr>
                <w:rFonts w:ascii="Cambria Math" w:hAnsi="Cambria Math" w:cs="Arial"/>
                <w:sz w:val="20"/>
                <w:szCs w:val="20"/>
              </w:rPr>
            </m:ctrlPr>
          </m:sup>
        </m:sSubSup>
        <m:r>
          <w:rPr>
            <w:rFonts w:ascii="Cambria Math" w:hAnsi="Cambria Math" w:cs="Arial"/>
            <w:sz w:val="20"/>
            <w:szCs w:val="20"/>
          </w:rPr>
          <m:t>=2</m:t>
        </m:r>
      </m:oMath>
      <w:r w:rsidRPr="00F32AE9">
        <w:rPr>
          <w:rFonts w:ascii="Arial" w:hAnsi="Arial" w:cs="Arial"/>
          <w:sz w:val="20"/>
          <w:szCs w:val="20"/>
          <w:lang w:val="en-GB"/>
        </w:rPr>
        <w:t xml:space="preserve"> </w:t>
      </w:r>
      <w:r>
        <w:rPr>
          <w:rFonts w:ascii="Arial" w:hAnsi="Arial" w:cs="Arial"/>
          <w:sz w:val="20"/>
          <w:szCs w:val="20"/>
          <w:lang w:val="en-GB"/>
        </w:rPr>
        <w:t xml:space="preserve">or </w:t>
      </w:r>
      <m:oMath>
        <m:r>
          <w:rPr>
            <w:rFonts w:ascii="Cambria Math" w:hAnsi="Cambria Math" w:cs="Arial"/>
            <w:sz w:val="20"/>
            <w:szCs w:val="20"/>
          </w:rPr>
          <m:t>4</m:t>
        </m:r>
      </m:oMath>
      <w:r w:rsidRPr="00F32AE9">
        <w:rPr>
          <w:rFonts w:ascii="Arial" w:hAnsi="Arial" w:cs="Arial"/>
          <w:sz w:val="20"/>
          <w:szCs w:val="20"/>
          <w:lang w:val="en-GB"/>
        </w:rPr>
        <w:t>,</w:t>
      </w:r>
      <w:r>
        <w:rPr>
          <w:rFonts w:ascii="Arial" w:hAnsi="Arial" w:cs="Arial"/>
          <w:sz w:val="20"/>
          <w:szCs w:val="20"/>
          <w:lang w:val="en-GB"/>
        </w:rPr>
        <w:t xml:space="preserve"> leaving</w:t>
      </w:r>
      <w:r w:rsidRPr="00F32AE9">
        <w:rPr>
          <w:rFonts w:ascii="Arial" w:hAnsi="Arial" w:cs="Arial"/>
          <w:sz w:val="20"/>
          <w:szCs w:val="20"/>
          <w:lang w:val="en-GB" w:eastAsia="ja-JP"/>
        </w:rPr>
        <w:t xml:space="preserve"> </w:t>
      </w:r>
      <w:r w:rsidR="00E332C7" w:rsidRPr="00A67609">
        <w:rPr>
          <w:rFonts w:ascii="Arial" w:hAnsi="Arial" w:cs="Arial"/>
          <w:sz w:val="20"/>
          <w:szCs w:val="20"/>
          <w:lang w:val="en-GB" w:eastAsia="ja-JP"/>
        </w:rPr>
        <w:t>asi</w:t>
      </w:r>
      <w:r w:rsidR="0040659F" w:rsidRPr="00A67609">
        <w:rPr>
          <w:rFonts w:ascii="Arial" w:hAnsi="Arial" w:cs="Arial"/>
          <w:sz w:val="20"/>
          <w:szCs w:val="20"/>
          <w:lang w:val="en-GB" w:eastAsia="ja-JP"/>
        </w:rPr>
        <w:t xml:space="preserve">de the case that </w:t>
      </w:r>
      <m:oMath>
        <m:sSubSup>
          <m:sSubSupPr>
            <m:ctrlPr>
              <w:rPr>
                <w:rFonts w:ascii="Cambria Math" w:hAnsi="Cambria Math" w:cs="Arial"/>
                <w:i/>
                <w:sz w:val="20"/>
                <w:szCs w:val="20"/>
              </w:rPr>
            </m:ctrlPr>
          </m:sSubSupPr>
          <m:e>
            <m:r>
              <w:rPr>
                <w:rFonts w:ascii="Cambria Math" w:hAnsi="Cambria Math" w:cs="Arial"/>
                <w:sz w:val="20"/>
                <w:szCs w:val="20"/>
              </w:rPr>
              <m:t>N</m:t>
            </m:r>
          </m:e>
          <m:sub>
            <m:r>
              <m:rPr>
                <m:nor/>
              </m:rPr>
              <w:rPr>
                <w:rFonts w:ascii="Arial" w:hAnsi="Arial" w:cs="Arial"/>
                <w:sz w:val="20"/>
                <w:szCs w:val="20"/>
              </w:rPr>
              <m:t>PSSCH</m:t>
            </m:r>
            <m:ctrlPr>
              <w:rPr>
                <w:rFonts w:ascii="Cambria Math" w:hAnsi="Cambria Math" w:cs="Arial"/>
                <w:sz w:val="20"/>
                <w:szCs w:val="20"/>
              </w:rPr>
            </m:ctrlPr>
          </m:sub>
          <m:sup>
            <m:r>
              <m:rPr>
                <m:nor/>
              </m:rPr>
              <w:rPr>
                <w:rFonts w:ascii="Arial" w:hAnsi="Arial" w:cs="Arial"/>
                <w:sz w:val="20"/>
                <w:szCs w:val="20"/>
              </w:rPr>
              <m:t>PSFCH</m:t>
            </m:r>
            <m:ctrlPr>
              <w:rPr>
                <w:rFonts w:ascii="Cambria Math" w:hAnsi="Cambria Math" w:cs="Arial"/>
                <w:sz w:val="20"/>
                <w:szCs w:val="20"/>
              </w:rPr>
            </m:ctrlPr>
          </m:sup>
        </m:sSubSup>
        <m:r>
          <w:rPr>
            <w:rFonts w:ascii="Cambria Math" w:hAnsi="Cambria Math" w:cs="Arial"/>
            <w:sz w:val="20"/>
            <w:szCs w:val="20"/>
            <w:lang w:val="en-GB"/>
          </w:rPr>
          <m:t>=1</m:t>
        </m:r>
      </m:oMath>
      <w:r w:rsidR="00197F4B">
        <w:rPr>
          <w:rFonts w:ascii="Arial" w:hAnsi="Arial" w:cs="Arial"/>
          <w:sz w:val="20"/>
          <w:szCs w:val="20"/>
          <w:lang w:val="en-GB"/>
        </w:rPr>
        <w:t>.</w:t>
      </w:r>
      <w:r w:rsidR="00451699" w:rsidRPr="00A67609">
        <w:rPr>
          <w:rFonts w:ascii="Arial" w:hAnsi="Arial" w:cs="Arial"/>
          <w:sz w:val="20"/>
          <w:szCs w:val="20"/>
          <w:lang w:val="en-GB"/>
        </w:rPr>
        <w:t xml:space="preserve"> </w:t>
      </w:r>
      <w:r w:rsidR="00197F4B">
        <w:rPr>
          <w:rFonts w:ascii="Arial" w:hAnsi="Arial" w:cs="Arial"/>
          <w:sz w:val="20"/>
          <w:szCs w:val="20"/>
          <w:lang w:val="en-GB"/>
        </w:rPr>
        <w:t xml:space="preserve">For </w:t>
      </w:r>
      <m:oMath>
        <m:sSubSup>
          <m:sSubSupPr>
            <m:ctrlPr>
              <w:rPr>
                <w:rFonts w:ascii="Cambria Math" w:hAnsi="Cambria Math" w:cs="Arial"/>
                <w:i/>
                <w:sz w:val="20"/>
                <w:szCs w:val="20"/>
              </w:rPr>
            </m:ctrlPr>
          </m:sSubSupPr>
          <m:e>
            <m:r>
              <w:rPr>
                <w:rFonts w:ascii="Cambria Math" w:hAnsi="Cambria Math" w:cs="Arial"/>
                <w:sz w:val="20"/>
                <w:szCs w:val="20"/>
              </w:rPr>
              <m:t>N</m:t>
            </m:r>
          </m:e>
          <m:sub>
            <m:r>
              <m:rPr>
                <m:nor/>
              </m:rPr>
              <w:rPr>
                <w:rFonts w:ascii="Arial" w:hAnsi="Arial" w:cs="Arial"/>
                <w:sz w:val="20"/>
                <w:szCs w:val="20"/>
              </w:rPr>
              <m:t>PSSCH</m:t>
            </m:r>
            <m:ctrlPr>
              <w:rPr>
                <w:rFonts w:ascii="Cambria Math" w:hAnsi="Cambria Math" w:cs="Arial"/>
                <w:sz w:val="20"/>
                <w:szCs w:val="20"/>
              </w:rPr>
            </m:ctrlPr>
          </m:sub>
          <m:sup>
            <m:r>
              <m:rPr>
                <m:nor/>
              </m:rPr>
              <w:rPr>
                <w:rFonts w:ascii="Arial" w:hAnsi="Arial" w:cs="Arial"/>
                <w:sz w:val="20"/>
                <w:szCs w:val="20"/>
              </w:rPr>
              <m:t>PSFCH</m:t>
            </m:r>
            <m:ctrlPr>
              <w:rPr>
                <w:rFonts w:ascii="Cambria Math" w:hAnsi="Cambria Math" w:cs="Arial"/>
                <w:sz w:val="20"/>
                <w:szCs w:val="20"/>
              </w:rPr>
            </m:ctrlPr>
          </m:sup>
        </m:sSubSup>
        <m:r>
          <w:rPr>
            <w:rFonts w:ascii="Cambria Math" w:hAnsi="Cambria Math" w:cs="Arial"/>
            <w:sz w:val="20"/>
            <w:szCs w:val="20"/>
            <w:lang w:val="en-GB"/>
          </w:rPr>
          <m:t>=1</m:t>
        </m:r>
      </m:oMath>
      <w:r w:rsidR="00197F4B" w:rsidRPr="00F32AE9">
        <w:rPr>
          <w:rFonts w:ascii="Arial" w:hAnsi="Arial" w:cs="Arial"/>
          <w:sz w:val="20"/>
          <w:szCs w:val="20"/>
          <w:lang w:val="en-GB"/>
        </w:rPr>
        <w:t xml:space="preserve"> </w:t>
      </w:r>
      <w:r w:rsidR="00451699" w:rsidRPr="00A67609">
        <w:rPr>
          <w:rFonts w:ascii="Arial" w:hAnsi="Arial" w:cs="Arial"/>
          <w:sz w:val="20"/>
          <w:szCs w:val="20"/>
          <w:lang w:val="en-GB"/>
        </w:rPr>
        <w:t xml:space="preserve">all </w:t>
      </w:r>
      <w:r w:rsidR="00451699" w:rsidRPr="00C13897">
        <w:rPr>
          <w:rFonts w:ascii="Arial" w:hAnsi="Arial" w:cs="Arial"/>
          <w:sz w:val="20"/>
          <w:szCs w:val="20"/>
          <w:lang w:val="en-GB"/>
        </w:rPr>
        <w:t xml:space="preserve">slots would contain PSFCH and hence nothing </w:t>
      </w:r>
      <w:r w:rsidR="00AB1EE7" w:rsidRPr="00C13897">
        <w:rPr>
          <w:rFonts w:ascii="Arial" w:hAnsi="Arial" w:cs="Arial"/>
          <w:sz w:val="20"/>
          <w:szCs w:val="20"/>
          <w:lang w:val="en-GB"/>
        </w:rPr>
        <w:t xml:space="preserve">specific </w:t>
      </w:r>
      <w:r w:rsidR="00072DF9" w:rsidRPr="00C13897">
        <w:rPr>
          <w:rFonts w:ascii="Arial" w:hAnsi="Arial" w:cs="Arial"/>
          <w:sz w:val="20"/>
          <w:szCs w:val="20"/>
          <w:lang w:val="en-GB"/>
        </w:rPr>
        <w:t>about them can be done.</w:t>
      </w:r>
    </w:p>
    <w:p w14:paraId="04AD3693" w14:textId="224C5AD9" w:rsidR="00196E6F" w:rsidRPr="00C13897" w:rsidRDefault="00A642EC" w:rsidP="00A45730">
      <w:pPr>
        <w:pStyle w:val="ListParagraph"/>
        <w:numPr>
          <w:ilvl w:val="0"/>
          <w:numId w:val="22"/>
        </w:numPr>
        <w:jc w:val="both"/>
        <w:rPr>
          <w:rFonts w:ascii="Arial" w:hAnsi="Arial" w:cs="Arial"/>
          <w:sz w:val="20"/>
          <w:szCs w:val="20"/>
          <w:lang w:val="en-GB" w:eastAsia="ja-JP"/>
        </w:rPr>
      </w:pPr>
      <w:r w:rsidRPr="00C13897">
        <w:rPr>
          <w:rFonts w:ascii="Arial" w:hAnsi="Arial" w:cs="Arial"/>
          <w:sz w:val="20"/>
          <w:szCs w:val="20"/>
          <w:lang w:val="en-GB" w:eastAsia="ja-JP"/>
        </w:rPr>
        <w:t xml:space="preserve">LTE </w:t>
      </w:r>
      <w:r w:rsidR="00DD6B1F" w:rsidRPr="00A67609">
        <w:rPr>
          <w:rFonts w:ascii="Arial" w:hAnsi="Arial" w:cs="Arial"/>
          <w:sz w:val="20"/>
          <w:szCs w:val="20"/>
          <w:lang w:val="en-GB" w:eastAsia="ja-JP"/>
        </w:rPr>
        <w:t xml:space="preserve">Resource exclusion based on RSSI averages excludes specific </w:t>
      </w:r>
      <w:r w:rsidR="00800F7C" w:rsidRPr="00A67609">
        <w:rPr>
          <w:rFonts w:ascii="Arial" w:hAnsi="Arial" w:cs="Arial"/>
          <w:sz w:val="20"/>
          <w:szCs w:val="20"/>
          <w:lang w:val="en-GB" w:eastAsia="ja-JP"/>
        </w:rPr>
        <w:t xml:space="preserve">frequency resources based on </w:t>
      </w:r>
      <w:r w:rsidR="006C2553" w:rsidRPr="00A67609">
        <w:rPr>
          <w:rFonts w:ascii="Arial" w:hAnsi="Arial" w:cs="Arial"/>
          <w:sz w:val="20"/>
          <w:szCs w:val="20"/>
          <w:lang w:val="en-GB" w:eastAsia="ja-JP"/>
        </w:rPr>
        <w:t>S-RSSI measured</w:t>
      </w:r>
      <w:r w:rsidR="00F23D8E" w:rsidRPr="00A67609">
        <w:rPr>
          <w:rFonts w:ascii="Arial" w:hAnsi="Arial" w:cs="Arial"/>
          <w:sz w:val="20"/>
          <w:szCs w:val="20"/>
          <w:lang w:val="en-GB" w:eastAsia="ja-JP"/>
        </w:rPr>
        <w:t xml:space="preserve"> in earlier </w:t>
      </w:r>
      <w:r w:rsidR="00F23D8E" w:rsidRPr="001F66E9">
        <w:rPr>
          <w:rFonts w:ascii="Arial" w:hAnsi="Arial" w:cs="Arial"/>
          <w:sz w:val="20"/>
          <w:szCs w:val="20"/>
          <w:lang w:val="en-GB" w:eastAsia="ja-JP"/>
        </w:rPr>
        <w:t xml:space="preserve">subframes. That is, it does not exclude </w:t>
      </w:r>
      <w:r w:rsidR="006C2553" w:rsidRPr="001F66E9">
        <w:rPr>
          <w:rFonts w:ascii="Arial" w:hAnsi="Arial" w:cs="Arial"/>
          <w:sz w:val="20"/>
          <w:szCs w:val="20"/>
          <w:lang w:val="en-GB" w:eastAsia="ja-JP"/>
        </w:rPr>
        <w:t xml:space="preserve">all resources in a subframe but a subset of them. </w:t>
      </w:r>
    </w:p>
    <w:p w14:paraId="0A45BEFD" w14:textId="77777777" w:rsidR="00847E5E" w:rsidRPr="00C13897" w:rsidRDefault="00531577" w:rsidP="00D63B2B">
      <w:pPr>
        <w:spacing w:before="240"/>
        <w:jc w:val="both"/>
        <w:rPr>
          <w:rFonts w:cs="Arial"/>
          <w:szCs w:val="20"/>
          <w:lang w:val="en-GB" w:eastAsia="ja-JP"/>
        </w:rPr>
      </w:pPr>
      <w:r w:rsidRPr="00C13897">
        <w:rPr>
          <w:rFonts w:cs="Arial"/>
          <w:szCs w:val="20"/>
          <w:lang w:val="en-GB" w:eastAsia="ja-JP"/>
        </w:rPr>
        <w:t xml:space="preserve">Regarding </w:t>
      </w:r>
      <w:r w:rsidR="00E414E3" w:rsidRPr="00C13897">
        <w:rPr>
          <w:rFonts w:cs="Arial"/>
          <w:szCs w:val="20"/>
          <w:lang w:val="en-GB" w:eastAsia="ja-JP"/>
        </w:rPr>
        <w:t>time allocation</w:t>
      </w:r>
      <w:r w:rsidR="00847E5E" w:rsidRPr="00C13897">
        <w:rPr>
          <w:rFonts w:cs="Arial"/>
          <w:szCs w:val="20"/>
          <w:lang w:val="en-GB" w:eastAsia="ja-JP"/>
        </w:rPr>
        <w:t>:</w:t>
      </w:r>
    </w:p>
    <w:p w14:paraId="2D696D91" w14:textId="45586FCC" w:rsidR="001E5E26" w:rsidRPr="001F66E9" w:rsidRDefault="00122AC1" w:rsidP="00A45730">
      <w:pPr>
        <w:pStyle w:val="ListParagraph"/>
        <w:numPr>
          <w:ilvl w:val="0"/>
          <w:numId w:val="23"/>
        </w:numPr>
        <w:jc w:val="both"/>
        <w:rPr>
          <w:rFonts w:ascii="Arial" w:hAnsi="Arial" w:cs="Arial"/>
          <w:sz w:val="20"/>
          <w:szCs w:val="20"/>
          <w:lang w:val="en-GB" w:eastAsia="ja-JP"/>
        </w:rPr>
      </w:pPr>
      <w:r>
        <w:rPr>
          <w:rFonts w:ascii="Arial" w:hAnsi="Arial" w:cs="Arial"/>
          <w:sz w:val="20"/>
          <w:szCs w:val="20"/>
          <w:lang w:val="en-GB" w:eastAsia="ja-JP"/>
        </w:rPr>
        <w:t>T</w:t>
      </w:r>
      <w:r w:rsidR="00E414E3" w:rsidRPr="001F66E9">
        <w:rPr>
          <w:rFonts w:ascii="Arial" w:hAnsi="Arial" w:cs="Arial"/>
          <w:sz w:val="20"/>
          <w:szCs w:val="20"/>
          <w:lang w:val="en-GB" w:eastAsia="ja-JP"/>
        </w:rPr>
        <w:t xml:space="preserve">here is a </w:t>
      </w:r>
      <w:r w:rsidR="00DF6207" w:rsidRPr="001F66E9">
        <w:rPr>
          <w:rFonts w:ascii="Arial" w:hAnsi="Arial" w:cs="Arial"/>
          <w:sz w:val="20"/>
          <w:szCs w:val="20"/>
          <w:lang w:val="en-GB" w:eastAsia="ja-JP"/>
        </w:rPr>
        <w:t xml:space="preserve">mismatch between the NR PSFCH periodicity (every 2 or 4 slots) and the S-RSSI averaging (every </w:t>
      </w:r>
      <m:oMath>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P</m:t>
            </m:r>
          </m:e>
          <m:sub>
            <m:r>
              <w:rPr>
                <w:rFonts w:ascii="Cambria Math" w:hAnsi="Cambria Math" w:cs="Arial"/>
                <w:sz w:val="20"/>
                <w:szCs w:val="20"/>
                <w:lang w:val="en-GB" w:eastAsia="ja-JP"/>
              </w:rPr>
              <m:t>step</m:t>
            </m:r>
          </m:sub>
        </m:sSub>
      </m:oMath>
      <w:r w:rsidR="000366CA" w:rsidRPr="001F66E9">
        <w:rPr>
          <w:rFonts w:ascii="Arial" w:eastAsiaTheme="minorEastAsia" w:hAnsi="Arial" w:cs="Arial"/>
          <w:sz w:val="20"/>
          <w:szCs w:val="20"/>
          <w:lang w:val="en-GB" w:eastAsia="ja-JP"/>
        </w:rPr>
        <w:t xml:space="preserve"> subframes, which is equal to 100 for FDD).</w:t>
      </w:r>
      <w:r w:rsidR="00D63B2B" w:rsidRPr="001F66E9">
        <w:rPr>
          <w:rFonts w:ascii="Arial" w:eastAsiaTheme="minorEastAsia" w:hAnsi="Arial" w:cs="Arial"/>
          <w:sz w:val="20"/>
          <w:szCs w:val="20"/>
          <w:lang w:val="en-GB" w:eastAsia="ja-JP"/>
        </w:rPr>
        <w:t xml:space="preserve"> </w:t>
      </w:r>
      <w:r w:rsidR="00487572" w:rsidRPr="001F66E9">
        <w:rPr>
          <w:rFonts w:ascii="Arial" w:eastAsiaTheme="minorEastAsia" w:hAnsi="Arial" w:cs="Arial"/>
          <w:sz w:val="20"/>
          <w:szCs w:val="20"/>
          <w:lang w:val="en-GB" w:eastAsia="ja-JP"/>
        </w:rPr>
        <w:t xml:space="preserve">However, given that </w:t>
      </w:r>
      <m:oMath>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P</m:t>
            </m:r>
          </m:e>
          <m:sub>
            <m:r>
              <w:rPr>
                <w:rFonts w:ascii="Cambria Math" w:hAnsi="Cambria Math" w:cs="Arial"/>
                <w:sz w:val="20"/>
                <w:szCs w:val="20"/>
                <w:lang w:val="en-GB" w:eastAsia="ja-JP"/>
              </w:rPr>
              <m:t>step</m:t>
            </m:r>
          </m:sub>
        </m:sSub>
      </m:oMath>
      <w:r w:rsidR="0059484C" w:rsidRPr="001F66E9">
        <w:rPr>
          <w:rFonts w:ascii="Arial" w:eastAsiaTheme="minorEastAsia" w:hAnsi="Arial" w:cs="Arial"/>
          <w:sz w:val="20"/>
          <w:szCs w:val="20"/>
          <w:lang w:val="en-GB" w:eastAsia="ja-JP"/>
        </w:rPr>
        <w:t xml:space="preserve"> is typically a multiple of </w:t>
      </w:r>
      <m:oMath>
        <m:sSubSup>
          <m:sSubSupPr>
            <m:ctrlPr>
              <w:rPr>
                <w:rFonts w:ascii="Cambria Math" w:hAnsi="Cambria Math" w:cs="Arial"/>
                <w:i/>
                <w:sz w:val="20"/>
                <w:szCs w:val="20"/>
              </w:rPr>
            </m:ctrlPr>
          </m:sSubSupPr>
          <m:e>
            <m:r>
              <w:rPr>
                <w:rFonts w:ascii="Cambria Math" w:hAnsi="Cambria Math" w:cs="Arial"/>
                <w:sz w:val="20"/>
                <w:szCs w:val="20"/>
              </w:rPr>
              <m:t>N</m:t>
            </m:r>
          </m:e>
          <m:sub>
            <m:r>
              <m:rPr>
                <m:nor/>
              </m:rPr>
              <w:rPr>
                <w:rFonts w:ascii="Arial" w:hAnsi="Arial" w:cs="Arial"/>
                <w:sz w:val="20"/>
                <w:szCs w:val="20"/>
              </w:rPr>
              <m:t>PSSCH</m:t>
            </m:r>
            <m:ctrlPr>
              <w:rPr>
                <w:rFonts w:ascii="Cambria Math" w:hAnsi="Cambria Math" w:cs="Arial"/>
                <w:sz w:val="20"/>
                <w:szCs w:val="20"/>
              </w:rPr>
            </m:ctrlPr>
          </m:sub>
          <m:sup>
            <m:r>
              <m:rPr>
                <m:nor/>
              </m:rPr>
              <w:rPr>
                <w:rFonts w:ascii="Arial" w:hAnsi="Arial" w:cs="Arial"/>
                <w:sz w:val="20"/>
                <w:szCs w:val="20"/>
              </w:rPr>
              <m:t>PSFCH</m:t>
            </m:r>
            <m:ctrlPr>
              <w:rPr>
                <w:rFonts w:ascii="Cambria Math" w:hAnsi="Cambria Math" w:cs="Arial"/>
                <w:sz w:val="20"/>
                <w:szCs w:val="20"/>
              </w:rPr>
            </m:ctrlPr>
          </m:sup>
        </m:sSubSup>
      </m:oMath>
      <w:r w:rsidR="0053771D" w:rsidRPr="001F66E9">
        <w:rPr>
          <w:rFonts w:ascii="Arial" w:eastAsiaTheme="minorEastAsia" w:hAnsi="Arial" w:cs="Arial"/>
          <w:sz w:val="20"/>
          <w:szCs w:val="20"/>
        </w:rPr>
        <w:t xml:space="preserve"> </w:t>
      </w:r>
      <w:r w:rsidR="00CE1B10" w:rsidRPr="001F66E9">
        <w:rPr>
          <w:rFonts w:ascii="Arial" w:eastAsiaTheme="minorEastAsia" w:hAnsi="Arial" w:cs="Arial"/>
          <w:sz w:val="20"/>
          <w:szCs w:val="20"/>
        </w:rPr>
        <w:t>an average S-RSSI measurement will include S-RSSI measurements from multiple slots with PSFCH resources</w:t>
      </w:r>
      <w:r w:rsidR="00361184" w:rsidRPr="001F66E9">
        <w:rPr>
          <w:rFonts w:ascii="Arial" w:eastAsiaTheme="minorEastAsia" w:hAnsi="Arial" w:cs="Arial"/>
          <w:sz w:val="20"/>
          <w:szCs w:val="20"/>
          <w:lang w:val="en-GB"/>
        </w:rPr>
        <w:t>,</w:t>
      </w:r>
      <w:r w:rsidR="00361184">
        <w:rPr>
          <w:rFonts w:ascii="Arial" w:eastAsiaTheme="minorEastAsia" w:hAnsi="Arial" w:cs="Arial"/>
          <w:sz w:val="20"/>
          <w:szCs w:val="20"/>
          <w:lang w:val="en-GB"/>
        </w:rPr>
        <w:t xml:space="preserve"> see </w:t>
      </w:r>
      <w:r w:rsidR="00361184" w:rsidRPr="005212BF">
        <w:rPr>
          <w:rFonts w:ascii="Arial" w:eastAsiaTheme="minorEastAsia" w:hAnsi="Arial" w:cs="Arial"/>
          <w:sz w:val="20"/>
          <w:szCs w:val="20"/>
          <w:lang w:val="en-GB"/>
        </w:rPr>
        <w:fldChar w:fldCharType="begin"/>
      </w:r>
      <w:r w:rsidR="00361184" w:rsidRPr="008A6B97">
        <w:rPr>
          <w:rFonts w:ascii="Arial" w:eastAsiaTheme="minorEastAsia" w:hAnsi="Arial" w:cs="Arial"/>
          <w:sz w:val="20"/>
          <w:szCs w:val="20"/>
          <w:lang w:val="en-GB"/>
        </w:rPr>
        <w:instrText xml:space="preserve"> REF _Ref110946466 \h </w:instrText>
      </w:r>
      <w:r w:rsidR="004B1149" w:rsidRPr="008A6B97">
        <w:rPr>
          <w:rFonts w:ascii="Arial" w:eastAsiaTheme="minorEastAsia" w:hAnsi="Arial" w:cs="Arial"/>
          <w:sz w:val="20"/>
          <w:szCs w:val="20"/>
          <w:lang w:val="en-GB"/>
        </w:rPr>
        <w:instrText xml:space="preserve"> \* MERGEFORMAT </w:instrText>
      </w:r>
      <w:r w:rsidR="00361184" w:rsidRPr="005212BF">
        <w:rPr>
          <w:rFonts w:ascii="Arial" w:eastAsiaTheme="minorEastAsia" w:hAnsi="Arial" w:cs="Arial"/>
          <w:sz w:val="20"/>
          <w:szCs w:val="20"/>
          <w:lang w:val="en-GB"/>
        </w:rPr>
      </w:r>
      <w:r w:rsidR="00361184" w:rsidRPr="005212BF">
        <w:rPr>
          <w:rFonts w:ascii="Arial" w:eastAsiaTheme="minorEastAsia" w:hAnsi="Arial" w:cs="Arial"/>
          <w:sz w:val="20"/>
          <w:szCs w:val="20"/>
          <w:lang w:val="en-GB"/>
        </w:rPr>
        <w:fldChar w:fldCharType="separate"/>
      </w:r>
      <w:r w:rsidR="00BC3592" w:rsidRPr="006742D0">
        <w:rPr>
          <w:rFonts w:ascii="Arial" w:hAnsi="Arial" w:cs="Arial"/>
          <w:sz w:val="20"/>
          <w:szCs w:val="20"/>
        </w:rPr>
        <w:t xml:space="preserve">Figure </w:t>
      </w:r>
      <w:r w:rsidR="00BC3592" w:rsidRPr="006742D0">
        <w:rPr>
          <w:rFonts w:ascii="Arial" w:hAnsi="Arial" w:cs="Arial"/>
          <w:noProof/>
          <w:sz w:val="20"/>
          <w:szCs w:val="20"/>
        </w:rPr>
        <w:t>1</w:t>
      </w:r>
      <w:r w:rsidR="00361184" w:rsidRPr="005212BF">
        <w:rPr>
          <w:rFonts w:ascii="Arial" w:eastAsiaTheme="minorEastAsia" w:hAnsi="Arial" w:cs="Arial"/>
          <w:sz w:val="20"/>
          <w:szCs w:val="20"/>
          <w:lang w:val="en-GB"/>
        </w:rPr>
        <w:fldChar w:fldCharType="end"/>
      </w:r>
      <w:r w:rsidR="00361184" w:rsidRPr="005212BF">
        <w:rPr>
          <w:rFonts w:ascii="Arial" w:eastAsiaTheme="minorEastAsia" w:hAnsi="Arial" w:cs="Arial"/>
          <w:sz w:val="20"/>
          <w:szCs w:val="20"/>
          <w:lang w:val="en-GB"/>
        </w:rPr>
        <w:t>.</w:t>
      </w:r>
    </w:p>
    <w:p w14:paraId="23529F22" w14:textId="0B4AE953" w:rsidR="00847E5E" w:rsidRPr="001F66E9" w:rsidRDefault="00847E5E" w:rsidP="00A45730">
      <w:pPr>
        <w:pStyle w:val="ListParagraph"/>
        <w:numPr>
          <w:ilvl w:val="0"/>
          <w:numId w:val="23"/>
        </w:numPr>
        <w:jc w:val="both"/>
        <w:rPr>
          <w:rFonts w:ascii="Arial" w:hAnsi="Arial" w:cs="Arial"/>
          <w:sz w:val="20"/>
          <w:szCs w:val="20"/>
          <w:lang w:val="en-GB" w:eastAsia="ja-JP"/>
        </w:rPr>
      </w:pPr>
      <w:r w:rsidRPr="00F902B4">
        <w:rPr>
          <w:rFonts w:ascii="Arial" w:eastAsiaTheme="minorEastAsia" w:hAnsi="Arial" w:cs="Arial"/>
          <w:sz w:val="20"/>
          <w:szCs w:val="20"/>
          <w:lang w:val="en-US"/>
        </w:rPr>
        <w:t>A</w:t>
      </w:r>
      <w:r w:rsidR="000D52FD" w:rsidRPr="00F902B4">
        <w:rPr>
          <w:rFonts w:ascii="Arial" w:eastAsiaTheme="minorEastAsia" w:hAnsi="Arial" w:cs="Arial"/>
          <w:sz w:val="20"/>
          <w:szCs w:val="20"/>
          <w:lang w:val="en-US"/>
        </w:rPr>
        <w:t xml:space="preserve">n </w:t>
      </w:r>
      <w:r w:rsidR="00A968ED" w:rsidRPr="00F902B4">
        <w:rPr>
          <w:rFonts w:ascii="Arial" w:eastAsiaTheme="minorEastAsia" w:hAnsi="Arial" w:cs="Arial"/>
          <w:sz w:val="20"/>
          <w:szCs w:val="20"/>
          <w:lang w:val="en-US"/>
        </w:rPr>
        <w:t xml:space="preserve">LTE </w:t>
      </w:r>
      <w:r w:rsidR="000D52FD" w:rsidRPr="00F902B4">
        <w:rPr>
          <w:rFonts w:ascii="Arial" w:eastAsiaTheme="minorEastAsia" w:hAnsi="Arial" w:cs="Arial"/>
          <w:sz w:val="20"/>
          <w:szCs w:val="20"/>
          <w:lang w:val="en-US"/>
        </w:rPr>
        <w:t>S-RSSI measurement</w:t>
      </w:r>
      <w:r w:rsidR="006103F1" w:rsidRPr="00F902B4">
        <w:rPr>
          <w:rFonts w:ascii="Arial" w:eastAsiaTheme="minorEastAsia" w:hAnsi="Arial" w:cs="Arial"/>
          <w:sz w:val="20"/>
          <w:szCs w:val="20"/>
          <w:lang w:val="en-US"/>
        </w:rPr>
        <w:t xml:space="preserve"> is </w:t>
      </w:r>
      <w:r w:rsidR="000722E9" w:rsidRPr="00F902B4">
        <w:rPr>
          <w:rFonts w:ascii="Arial" w:eastAsiaTheme="minorEastAsia" w:hAnsi="Arial" w:cs="Arial"/>
          <w:sz w:val="20"/>
          <w:szCs w:val="20"/>
          <w:lang w:val="en-US"/>
        </w:rPr>
        <w:t xml:space="preserve">a linear average </w:t>
      </w:r>
      <w:r w:rsidR="00E269E2" w:rsidRPr="00F902B4">
        <w:rPr>
          <w:rFonts w:ascii="Arial" w:eastAsiaTheme="minorEastAsia" w:hAnsi="Arial" w:cs="Arial"/>
          <w:sz w:val="20"/>
          <w:szCs w:val="20"/>
          <w:lang w:val="en-US"/>
        </w:rPr>
        <w:t xml:space="preserve">of received power </w:t>
      </w:r>
      <w:r w:rsidR="0083284D" w:rsidRPr="00F902B4">
        <w:rPr>
          <w:rFonts w:ascii="Arial" w:eastAsiaTheme="minorEastAsia" w:hAnsi="Arial" w:cs="Arial"/>
          <w:sz w:val="20"/>
          <w:szCs w:val="20"/>
          <w:lang w:val="en-US"/>
        </w:rPr>
        <w:t xml:space="preserve">over </w:t>
      </w:r>
      <w:r w:rsidR="00B012DB" w:rsidRPr="00F902B4">
        <w:rPr>
          <w:rFonts w:ascii="Arial" w:eastAsiaTheme="minorEastAsia" w:hAnsi="Arial" w:cs="Arial"/>
          <w:sz w:val="20"/>
          <w:szCs w:val="20"/>
          <w:lang w:val="en-US"/>
        </w:rPr>
        <w:t>OFDM symbols 0-12</w:t>
      </w:r>
      <w:r w:rsidR="0042686F" w:rsidRPr="00F902B4">
        <w:rPr>
          <w:rFonts w:ascii="Arial" w:eastAsiaTheme="minorEastAsia" w:hAnsi="Arial" w:cs="Arial"/>
          <w:sz w:val="20"/>
          <w:szCs w:val="20"/>
          <w:lang w:val="en-US"/>
        </w:rPr>
        <w:t xml:space="preserve"> (symbol 13 is a GP).</w:t>
      </w:r>
    </w:p>
    <w:p w14:paraId="3D35A557" w14:textId="7BF0527E" w:rsidR="0065636A" w:rsidRPr="001F66E9" w:rsidRDefault="0065636A" w:rsidP="00A45730">
      <w:pPr>
        <w:pStyle w:val="ListParagraph"/>
        <w:numPr>
          <w:ilvl w:val="0"/>
          <w:numId w:val="23"/>
        </w:numPr>
        <w:jc w:val="both"/>
        <w:rPr>
          <w:rFonts w:ascii="Arial" w:hAnsi="Arial" w:cs="Arial"/>
          <w:sz w:val="20"/>
          <w:szCs w:val="20"/>
          <w:lang w:val="en-GB" w:eastAsia="ja-JP"/>
        </w:rPr>
      </w:pPr>
      <w:r w:rsidRPr="00F902B4">
        <w:rPr>
          <w:rFonts w:ascii="Arial" w:eastAsiaTheme="minorEastAsia" w:hAnsi="Arial" w:cs="Arial"/>
          <w:sz w:val="20"/>
          <w:szCs w:val="20"/>
          <w:lang w:val="en-US"/>
        </w:rPr>
        <w:t xml:space="preserve">In </w:t>
      </w:r>
      <w:r w:rsidR="00A968ED" w:rsidRPr="00F902B4">
        <w:rPr>
          <w:rFonts w:ascii="Arial" w:eastAsiaTheme="minorEastAsia" w:hAnsi="Arial" w:cs="Arial"/>
          <w:sz w:val="20"/>
          <w:szCs w:val="20"/>
          <w:lang w:val="en-US"/>
        </w:rPr>
        <w:t>NR slots configured with PSFCH symbols</w:t>
      </w:r>
      <w:r w:rsidR="00B65508" w:rsidRPr="00F902B4">
        <w:rPr>
          <w:rFonts w:ascii="Arial" w:eastAsiaTheme="minorEastAsia" w:hAnsi="Arial" w:cs="Arial"/>
          <w:sz w:val="20"/>
          <w:szCs w:val="20"/>
          <w:lang w:val="en-US"/>
        </w:rPr>
        <w:t xml:space="preserve"> we have that</w:t>
      </w:r>
    </w:p>
    <w:p w14:paraId="071F182E" w14:textId="61E7DAFB" w:rsidR="00A968ED" w:rsidRPr="001F66E9" w:rsidRDefault="00A968ED" w:rsidP="00A45730">
      <w:pPr>
        <w:pStyle w:val="ListParagraph"/>
        <w:numPr>
          <w:ilvl w:val="1"/>
          <w:numId w:val="23"/>
        </w:numPr>
        <w:jc w:val="both"/>
        <w:rPr>
          <w:rFonts w:ascii="Arial" w:hAnsi="Arial" w:cs="Arial"/>
          <w:sz w:val="20"/>
          <w:szCs w:val="20"/>
          <w:lang w:val="en-GB" w:eastAsia="ja-JP"/>
        </w:rPr>
      </w:pPr>
      <w:r w:rsidRPr="001F66E9">
        <w:rPr>
          <w:rFonts w:ascii="Arial" w:eastAsiaTheme="minorEastAsia" w:hAnsi="Arial" w:cs="Arial"/>
          <w:sz w:val="20"/>
          <w:szCs w:val="20"/>
          <w:lang w:val="sv-SE"/>
        </w:rPr>
        <w:t xml:space="preserve">Symbols </w:t>
      </w:r>
      <w:r w:rsidR="008578F0" w:rsidRPr="001F66E9">
        <w:rPr>
          <w:rFonts w:ascii="Arial" w:eastAsiaTheme="minorEastAsia" w:hAnsi="Arial" w:cs="Arial"/>
          <w:sz w:val="20"/>
          <w:szCs w:val="20"/>
          <w:lang w:val="sv-SE"/>
        </w:rPr>
        <w:t>0</w:t>
      </w:r>
      <w:r w:rsidR="00F14352" w:rsidRPr="001F66E9">
        <w:rPr>
          <w:rFonts w:ascii="Arial" w:eastAsiaTheme="minorEastAsia" w:hAnsi="Arial" w:cs="Arial"/>
          <w:sz w:val="20"/>
          <w:szCs w:val="20"/>
          <w:lang w:val="sv-SE"/>
        </w:rPr>
        <w:t>-9 carry PSCCH/PSSCH</w:t>
      </w:r>
    </w:p>
    <w:p w14:paraId="3DF694DA" w14:textId="16C8C054" w:rsidR="00AD617E" w:rsidRPr="001F66E9" w:rsidRDefault="00AD617E" w:rsidP="00A45730">
      <w:pPr>
        <w:pStyle w:val="ListParagraph"/>
        <w:numPr>
          <w:ilvl w:val="1"/>
          <w:numId w:val="23"/>
        </w:numPr>
        <w:jc w:val="both"/>
        <w:rPr>
          <w:rFonts w:ascii="Arial" w:hAnsi="Arial" w:cs="Arial"/>
          <w:sz w:val="20"/>
          <w:szCs w:val="20"/>
          <w:lang w:val="en-GB" w:eastAsia="ja-JP"/>
        </w:rPr>
      </w:pPr>
      <w:r w:rsidRPr="001F66E9">
        <w:rPr>
          <w:rFonts w:ascii="Arial" w:eastAsiaTheme="minorEastAsia" w:hAnsi="Arial" w:cs="Arial"/>
          <w:sz w:val="20"/>
          <w:szCs w:val="20"/>
          <w:lang w:val="sv-SE"/>
        </w:rPr>
        <w:t xml:space="preserve">Symbols 11 and 12 </w:t>
      </w:r>
      <w:r w:rsidR="008578F0" w:rsidRPr="001F66E9">
        <w:rPr>
          <w:rFonts w:ascii="Arial" w:eastAsiaTheme="minorEastAsia" w:hAnsi="Arial" w:cs="Arial"/>
          <w:sz w:val="20"/>
          <w:szCs w:val="20"/>
          <w:lang w:val="sv-SE"/>
        </w:rPr>
        <w:t>carry PSFCH</w:t>
      </w:r>
      <w:r w:rsidR="00F14352" w:rsidRPr="001F66E9">
        <w:rPr>
          <w:rFonts w:ascii="Arial" w:eastAsiaTheme="minorEastAsia" w:hAnsi="Arial" w:cs="Arial"/>
          <w:sz w:val="20"/>
          <w:szCs w:val="20"/>
          <w:lang w:val="sv-SE"/>
        </w:rPr>
        <w:t>.</w:t>
      </w:r>
    </w:p>
    <w:p w14:paraId="0F2F5496" w14:textId="69D5199C" w:rsidR="00F14352" w:rsidRPr="001F66E9" w:rsidRDefault="00F14352" w:rsidP="00A45730">
      <w:pPr>
        <w:pStyle w:val="ListParagraph"/>
        <w:numPr>
          <w:ilvl w:val="1"/>
          <w:numId w:val="23"/>
        </w:numPr>
        <w:jc w:val="both"/>
        <w:rPr>
          <w:rFonts w:ascii="Arial" w:hAnsi="Arial" w:cs="Arial"/>
          <w:sz w:val="20"/>
          <w:szCs w:val="20"/>
          <w:lang w:val="en-GB" w:eastAsia="ja-JP"/>
        </w:rPr>
      </w:pPr>
      <w:r w:rsidRPr="001F66E9">
        <w:rPr>
          <w:rFonts w:ascii="Arial" w:eastAsiaTheme="minorEastAsia" w:hAnsi="Arial" w:cs="Arial"/>
          <w:sz w:val="20"/>
          <w:szCs w:val="20"/>
          <w:lang w:val="sv-SE"/>
        </w:rPr>
        <w:t xml:space="preserve">Symbols </w:t>
      </w:r>
      <w:r w:rsidR="0042686F" w:rsidRPr="001F66E9">
        <w:rPr>
          <w:rFonts w:ascii="Arial" w:eastAsiaTheme="minorEastAsia" w:hAnsi="Arial" w:cs="Arial"/>
          <w:sz w:val="20"/>
          <w:szCs w:val="20"/>
          <w:lang w:val="sv-SE"/>
        </w:rPr>
        <w:t>10 and 13 are GPs.</w:t>
      </w:r>
    </w:p>
    <w:p w14:paraId="1B1DF270" w14:textId="2C80B9AC" w:rsidR="00225A22" w:rsidRDefault="00945CA3" w:rsidP="001F66E9">
      <w:pPr>
        <w:keepNext/>
        <w:spacing w:before="240"/>
        <w:jc w:val="both"/>
      </w:pPr>
      <w:r>
        <w:rPr>
          <w:noProof/>
        </w:rPr>
        <w:drawing>
          <wp:inline distT="0" distB="0" distL="0" distR="0" wp14:anchorId="4C98AD9B" wp14:editId="615FD6BF">
            <wp:extent cx="6120000" cy="2916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000" cy="2916000"/>
                    </a:xfrm>
                    <a:prstGeom prst="rect">
                      <a:avLst/>
                    </a:prstGeom>
                    <a:noFill/>
                  </pic:spPr>
                </pic:pic>
              </a:graphicData>
            </a:graphic>
          </wp:inline>
        </w:drawing>
      </w:r>
    </w:p>
    <w:p w14:paraId="355D50CC" w14:textId="01493FF8" w:rsidR="00390B68" w:rsidRDefault="00225A22" w:rsidP="001F66E9">
      <w:pPr>
        <w:pStyle w:val="Caption"/>
        <w:jc w:val="center"/>
        <w:rPr>
          <w:rFonts w:cs="Arial"/>
          <w:szCs w:val="20"/>
          <w:lang w:val="en-GB" w:eastAsia="ja-JP"/>
        </w:rPr>
      </w:pPr>
      <w:bookmarkStart w:id="20" w:name="_Ref110946466"/>
      <w:r>
        <w:t>Figure</w:t>
      </w:r>
      <w:bookmarkStart w:id="21" w:name="_Ref110932385"/>
      <w:r w:rsidR="00C3466D">
        <w:t xml:space="preserve"> </w:t>
      </w:r>
      <w:r>
        <w:fldChar w:fldCharType="begin"/>
      </w:r>
      <w:r>
        <w:instrText xml:space="preserve"> SEQ Figure \* ARABIC </w:instrText>
      </w:r>
      <w:r>
        <w:fldChar w:fldCharType="separate"/>
      </w:r>
      <w:r w:rsidR="007D4CAC">
        <w:rPr>
          <w:noProof/>
        </w:rPr>
        <w:t>1</w:t>
      </w:r>
      <w:r>
        <w:fldChar w:fldCharType="end"/>
      </w:r>
      <w:bookmarkEnd w:id="20"/>
      <w:r w:rsidR="00B61599">
        <w:t>. Computation of</w:t>
      </w:r>
      <w:r w:rsidR="00040E13">
        <w:t xml:space="preserve"> averaged S-RSSI values</w:t>
      </w:r>
      <w:r w:rsidR="00770D8A">
        <w:t xml:space="preserve"> for two different </w:t>
      </w:r>
      <w:r w:rsidR="00521441">
        <w:t xml:space="preserve">subframes (in the future) </w:t>
      </w:r>
      <w:r w:rsidR="00EA15E9">
        <w:t>y</w:t>
      </w:r>
      <w:r w:rsidR="00EA15E9" w:rsidRPr="001F66E9">
        <w:rPr>
          <w:vertAlign w:val="subscript"/>
        </w:rPr>
        <w:t>1</w:t>
      </w:r>
      <w:r w:rsidR="00EA15E9">
        <w:t xml:space="preserve"> and y</w:t>
      </w:r>
      <w:r w:rsidR="00EA15E9" w:rsidRPr="001F66E9">
        <w:rPr>
          <w:vertAlign w:val="subscript"/>
        </w:rPr>
        <w:t>2</w:t>
      </w:r>
      <w:r w:rsidR="00EA15E9">
        <w:t xml:space="preserve"> </w:t>
      </w:r>
      <w:r w:rsidR="00397DDB">
        <w:t xml:space="preserve">which are </w:t>
      </w:r>
      <w:r w:rsidR="00EA15E9">
        <w:t>overlapping with NR slots configured with PSFCH resource</w:t>
      </w:r>
      <w:r w:rsidR="00162BCC">
        <w:t xml:space="preserve">s (in </w:t>
      </w:r>
      <w:r w:rsidR="00F93658">
        <w:t>yellow</w:t>
      </w:r>
      <w:r w:rsidR="00162BCC">
        <w:t>)</w:t>
      </w:r>
      <w:r w:rsidR="00A85C22">
        <w:t xml:space="preserve">. For subframe </w:t>
      </w:r>
      <w:r w:rsidR="00F93658">
        <w:t>y</w:t>
      </w:r>
      <w:r w:rsidR="00F93658" w:rsidRPr="0096510F">
        <w:rPr>
          <w:vertAlign w:val="subscript"/>
        </w:rPr>
        <w:t>1</w:t>
      </w:r>
      <w:r w:rsidR="00AD76F4">
        <w:rPr>
          <w:vertAlign w:val="subscript"/>
        </w:rPr>
        <w:t xml:space="preserve"> </w:t>
      </w:r>
      <w:r w:rsidR="00AD76F4">
        <w:t xml:space="preserve">(semi-transparent red), </w:t>
      </w:r>
      <w:r w:rsidR="00A85C22">
        <w:t>S-RSSI measurements from</w:t>
      </w:r>
      <w:r w:rsidR="002A104E">
        <w:t xml:space="preserve"> K past subframes are averaged</w:t>
      </w:r>
      <w:r w:rsidR="007C1736">
        <w:t xml:space="preserve"> (</w:t>
      </w:r>
      <w:r w:rsidR="00AD76F4">
        <w:t>solid</w:t>
      </w:r>
      <w:r w:rsidR="008443DC">
        <w:t xml:space="preserve"> red)</w:t>
      </w:r>
      <w:r w:rsidR="002A589C">
        <w:t>. For subf</w:t>
      </w:r>
      <w:r w:rsidR="00C458D7">
        <w:t xml:space="preserve">rame </w:t>
      </w:r>
      <w:r w:rsidR="00F93658">
        <w:t>y</w:t>
      </w:r>
      <w:r w:rsidR="00F93658" w:rsidRPr="0096510F">
        <w:rPr>
          <w:vertAlign w:val="subscript"/>
        </w:rPr>
        <w:t>2</w:t>
      </w:r>
      <w:r w:rsidR="00AD76F4">
        <w:rPr>
          <w:vertAlign w:val="subscript"/>
        </w:rPr>
        <w:t xml:space="preserve"> </w:t>
      </w:r>
      <w:r w:rsidR="00AD76F4">
        <w:t>(semi-transparent blue)</w:t>
      </w:r>
      <w:r w:rsidR="00C458D7">
        <w:t>, S-RSSI from another K past subframes are averaged</w:t>
      </w:r>
      <w:r w:rsidR="00AD76F4">
        <w:t xml:space="preserve"> (solid blue)</w:t>
      </w:r>
      <w:r w:rsidR="00C458D7">
        <w:t xml:space="preserve">. </w:t>
      </w:r>
      <w:r w:rsidR="006722C9">
        <w:t xml:space="preserve">Note that all </w:t>
      </w:r>
      <w:r w:rsidR="005D4032">
        <w:t xml:space="preserve">average S-RSSI values correspond to subframes overlapping with NR slots configured with PSFCH resources, </w:t>
      </w:r>
      <w:r w:rsidR="009B5B86">
        <w:t>even if different slots are considered for different averaged measurements.</w:t>
      </w:r>
    </w:p>
    <w:p w14:paraId="0D1CCEB3" w14:textId="23A96A3C" w:rsidR="00D41944" w:rsidRPr="00C13897" w:rsidRDefault="00EC2CBD" w:rsidP="00C710F1">
      <w:pPr>
        <w:spacing w:before="240"/>
        <w:jc w:val="both"/>
        <w:rPr>
          <w:rFonts w:cs="Arial"/>
          <w:szCs w:val="20"/>
          <w:lang w:val="en-GB" w:eastAsia="ja-JP"/>
        </w:rPr>
      </w:pPr>
      <w:r w:rsidRPr="00C13897">
        <w:rPr>
          <w:rFonts w:cs="Arial"/>
          <w:szCs w:val="20"/>
          <w:lang w:val="en-GB" w:eastAsia="ja-JP"/>
        </w:rPr>
        <w:t>Regarding frequency allocation:</w:t>
      </w:r>
    </w:p>
    <w:p w14:paraId="283BD7A8" w14:textId="11081357" w:rsidR="002116BD" w:rsidRPr="001F66E9" w:rsidRDefault="00085410" w:rsidP="00A45730">
      <w:pPr>
        <w:pStyle w:val="ListParagraph"/>
        <w:numPr>
          <w:ilvl w:val="0"/>
          <w:numId w:val="24"/>
        </w:numPr>
        <w:jc w:val="both"/>
        <w:rPr>
          <w:rFonts w:ascii="Arial" w:hAnsi="Arial" w:cs="Arial"/>
          <w:sz w:val="20"/>
          <w:szCs w:val="20"/>
          <w:lang w:val="en-GB" w:eastAsia="ja-JP"/>
        </w:rPr>
      </w:pPr>
      <w:r w:rsidRPr="001F66E9">
        <w:rPr>
          <w:rFonts w:ascii="Arial" w:hAnsi="Arial" w:cs="Arial"/>
          <w:sz w:val="20"/>
          <w:szCs w:val="20"/>
          <w:lang w:val="en-GB" w:eastAsia="ja-JP"/>
        </w:rPr>
        <w:t xml:space="preserve">From a UE perspective, </w:t>
      </w:r>
      <w:r w:rsidR="002116BD" w:rsidRPr="001F66E9">
        <w:rPr>
          <w:rFonts w:ascii="Arial" w:hAnsi="Arial" w:cs="Arial"/>
          <w:sz w:val="20"/>
          <w:szCs w:val="20"/>
          <w:lang w:val="en-GB" w:eastAsia="ja-JP"/>
        </w:rPr>
        <w:t>NR PSFCH transmissions occup</w:t>
      </w:r>
      <w:r w:rsidR="00EE3ED9" w:rsidRPr="001F66E9">
        <w:rPr>
          <w:rFonts w:ascii="Arial" w:hAnsi="Arial" w:cs="Arial"/>
          <w:sz w:val="20"/>
          <w:szCs w:val="20"/>
          <w:lang w:val="en-GB" w:eastAsia="ja-JP"/>
        </w:rPr>
        <w:t xml:space="preserve">y a single </w:t>
      </w:r>
      <w:r w:rsidR="00990598" w:rsidRPr="001F66E9">
        <w:rPr>
          <w:rFonts w:ascii="Arial" w:hAnsi="Arial" w:cs="Arial"/>
          <w:sz w:val="20"/>
          <w:szCs w:val="20"/>
          <w:lang w:val="en-GB" w:eastAsia="ja-JP"/>
        </w:rPr>
        <w:t>P</w:t>
      </w:r>
      <w:r w:rsidR="009D5133" w:rsidRPr="001F66E9">
        <w:rPr>
          <w:rFonts w:ascii="Arial" w:hAnsi="Arial" w:cs="Arial"/>
          <w:sz w:val="20"/>
          <w:szCs w:val="20"/>
          <w:lang w:val="en-GB" w:eastAsia="ja-JP"/>
        </w:rPr>
        <w:t>RB.</w:t>
      </w:r>
    </w:p>
    <w:p w14:paraId="187D3729" w14:textId="264C68DC" w:rsidR="00085410" w:rsidRPr="001F66E9" w:rsidRDefault="00085410" w:rsidP="00A45730">
      <w:pPr>
        <w:pStyle w:val="ListParagraph"/>
        <w:numPr>
          <w:ilvl w:val="0"/>
          <w:numId w:val="24"/>
        </w:numPr>
        <w:jc w:val="both"/>
        <w:rPr>
          <w:rFonts w:ascii="Arial" w:hAnsi="Arial" w:cs="Arial"/>
          <w:sz w:val="20"/>
          <w:szCs w:val="20"/>
          <w:lang w:val="en-GB" w:eastAsia="ja-JP"/>
        </w:rPr>
      </w:pPr>
      <w:r w:rsidRPr="001F66E9">
        <w:rPr>
          <w:rFonts w:ascii="Arial" w:hAnsi="Arial" w:cs="Arial"/>
          <w:sz w:val="20"/>
          <w:szCs w:val="20"/>
          <w:lang w:val="en-GB" w:eastAsia="ja-JP"/>
        </w:rPr>
        <w:t xml:space="preserve">From a system perspective, </w:t>
      </w:r>
      <w:r w:rsidR="00D11CB4" w:rsidRPr="001F66E9">
        <w:rPr>
          <w:rFonts w:ascii="Arial" w:hAnsi="Arial" w:cs="Arial"/>
          <w:sz w:val="20"/>
          <w:szCs w:val="20"/>
          <w:lang w:val="en-GB" w:eastAsia="ja-JP"/>
        </w:rPr>
        <w:t xml:space="preserve">a set of </w:t>
      </w:r>
      <w:r w:rsidR="00D56C98" w:rsidRPr="001F66E9">
        <w:rPr>
          <w:rFonts w:ascii="Arial" w:hAnsi="Arial" w:cs="Arial"/>
          <w:sz w:val="20"/>
          <w:szCs w:val="20"/>
          <w:lang w:val="en-GB" w:eastAsia="ja-JP"/>
        </w:rPr>
        <w:t xml:space="preserve">PRBs are configured for </w:t>
      </w:r>
      <w:r w:rsidRPr="001F66E9">
        <w:rPr>
          <w:rFonts w:ascii="Arial" w:hAnsi="Arial" w:cs="Arial"/>
          <w:sz w:val="20"/>
          <w:szCs w:val="20"/>
          <w:lang w:val="en-GB" w:eastAsia="ja-JP"/>
        </w:rPr>
        <w:t>NR PSFCH transmission</w:t>
      </w:r>
      <w:r w:rsidR="00D56C98" w:rsidRPr="001F66E9">
        <w:rPr>
          <w:rFonts w:ascii="Arial" w:hAnsi="Arial" w:cs="Arial"/>
          <w:sz w:val="20"/>
          <w:szCs w:val="20"/>
          <w:lang w:val="en-GB" w:eastAsia="ja-JP"/>
        </w:rPr>
        <w:t xml:space="preserve">. The choice of </w:t>
      </w:r>
      <w:r w:rsidR="00990598" w:rsidRPr="001F66E9">
        <w:rPr>
          <w:rFonts w:ascii="Arial" w:hAnsi="Arial" w:cs="Arial"/>
          <w:sz w:val="20"/>
          <w:szCs w:val="20"/>
          <w:lang w:val="en-GB" w:eastAsia="ja-JP"/>
        </w:rPr>
        <w:t xml:space="preserve">PRBs within the system bandwidth can be </w:t>
      </w:r>
      <w:r w:rsidR="00DC1B46" w:rsidRPr="001F66E9">
        <w:rPr>
          <w:rFonts w:ascii="Arial" w:hAnsi="Arial" w:cs="Arial"/>
          <w:sz w:val="20"/>
          <w:szCs w:val="20"/>
          <w:lang w:val="en-GB" w:eastAsia="ja-JP"/>
        </w:rPr>
        <w:t>configured with full flexibility</w:t>
      </w:r>
      <w:r w:rsidR="005452BC" w:rsidRPr="001F66E9">
        <w:rPr>
          <w:rFonts w:ascii="Arial" w:hAnsi="Arial" w:cs="Arial"/>
          <w:sz w:val="20"/>
          <w:szCs w:val="20"/>
          <w:lang w:val="en-GB" w:eastAsia="ja-JP"/>
        </w:rPr>
        <w:t xml:space="preserve"> by </w:t>
      </w:r>
      <w:proofErr w:type="spellStart"/>
      <w:r w:rsidR="005452BC" w:rsidRPr="001F66E9">
        <w:rPr>
          <w:rFonts w:ascii="Arial" w:hAnsi="Arial" w:cs="Arial"/>
          <w:i/>
          <w:iCs/>
          <w:sz w:val="20"/>
          <w:szCs w:val="20"/>
          <w:lang w:val="en-GB" w:eastAsia="ja-JP"/>
        </w:rPr>
        <w:t>sl</w:t>
      </w:r>
      <w:proofErr w:type="spellEnd"/>
      <w:r w:rsidR="005452BC" w:rsidRPr="001F66E9">
        <w:rPr>
          <w:rFonts w:ascii="Arial" w:hAnsi="Arial" w:cs="Arial"/>
          <w:i/>
          <w:iCs/>
          <w:sz w:val="20"/>
          <w:szCs w:val="20"/>
          <w:lang w:val="en-GB" w:eastAsia="ja-JP"/>
        </w:rPr>
        <w:t>-PSFCH-RB-Set</w:t>
      </w:r>
      <w:r w:rsidR="001B01B7" w:rsidRPr="001F66E9">
        <w:rPr>
          <w:rFonts w:ascii="Arial" w:hAnsi="Arial" w:cs="Arial"/>
          <w:sz w:val="20"/>
          <w:szCs w:val="20"/>
          <w:lang w:val="en-GB" w:eastAsia="ja-JP"/>
        </w:rPr>
        <w:t xml:space="preserve"> </w:t>
      </w:r>
      <w:r w:rsidR="001B01B7" w:rsidRPr="001F66E9">
        <w:rPr>
          <w:rFonts w:ascii="Arial" w:hAnsi="Arial" w:cs="Arial"/>
          <w:sz w:val="20"/>
          <w:szCs w:val="20"/>
          <w:lang w:val="en-GB"/>
        </w:rPr>
        <w:t xml:space="preserve">(see </w:t>
      </w:r>
      <w:r w:rsidR="001B01B7" w:rsidRPr="001F66E9">
        <w:rPr>
          <w:rFonts w:ascii="Arial" w:hAnsi="Arial" w:cs="Arial"/>
          <w:sz w:val="20"/>
          <w:szCs w:val="20"/>
          <w:lang w:val="en-GB"/>
        </w:rPr>
        <w:fldChar w:fldCharType="begin"/>
      </w:r>
      <w:r w:rsidR="001B01B7" w:rsidRPr="001F66E9">
        <w:rPr>
          <w:rFonts w:ascii="Arial" w:hAnsi="Arial" w:cs="Arial"/>
          <w:sz w:val="20"/>
          <w:szCs w:val="20"/>
          <w:lang w:val="en-GB"/>
        </w:rPr>
        <w:instrText xml:space="preserve"> REF _Ref110938779 \h </w:instrText>
      </w:r>
      <w:r w:rsidR="00C13897" w:rsidRPr="001F66E9">
        <w:rPr>
          <w:rFonts w:ascii="Arial" w:hAnsi="Arial" w:cs="Arial"/>
          <w:sz w:val="20"/>
          <w:szCs w:val="20"/>
          <w:lang w:val="en-GB"/>
        </w:rPr>
        <w:instrText xml:space="preserve"> \* MERGEFORMAT </w:instrText>
      </w:r>
      <w:r w:rsidR="001B01B7" w:rsidRPr="001F66E9">
        <w:rPr>
          <w:rFonts w:ascii="Arial" w:hAnsi="Arial" w:cs="Arial"/>
          <w:sz w:val="20"/>
          <w:szCs w:val="20"/>
          <w:lang w:val="en-GB"/>
        </w:rPr>
      </w:r>
      <w:r w:rsidR="001B01B7" w:rsidRPr="001F66E9">
        <w:rPr>
          <w:rFonts w:ascii="Arial" w:hAnsi="Arial" w:cs="Arial"/>
          <w:sz w:val="20"/>
          <w:szCs w:val="20"/>
          <w:lang w:val="en-GB"/>
        </w:rPr>
        <w:fldChar w:fldCharType="separate"/>
      </w:r>
      <w:r w:rsidR="00BC3592" w:rsidRPr="006742D0">
        <w:rPr>
          <w:rFonts w:ascii="Arial" w:hAnsi="Arial" w:cs="Arial"/>
          <w:sz w:val="20"/>
          <w:szCs w:val="20"/>
        </w:rPr>
        <w:t xml:space="preserve">Table </w:t>
      </w:r>
      <w:r w:rsidR="00BC3592" w:rsidRPr="006742D0">
        <w:rPr>
          <w:rFonts w:ascii="Arial" w:hAnsi="Arial" w:cs="Arial"/>
          <w:noProof/>
          <w:sz w:val="20"/>
          <w:szCs w:val="20"/>
        </w:rPr>
        <w:t>3</w:t>
      </w:r>
      <w:r w:rsidR="001B01B7" w:rsidRPr="001F66E9">
        <w:rPr>
          <w:rFonts w:ascii="Arial" w:hAnsi="Arial" w:cs="Arial"/>
          <w:sz w:val="20"/>
          <w:szCs w:val="20"/>
          <w:lang w:val="en-GB"/>
        </w:rPr>
        <w:fldChar w:fldCharType="end"/>
      </w:r>
      <w:r w:rsidR="009B52BA" w:rsidRPr="00AF7C00">
        <w:rPr>
          <w:rFonts w:ascii="Arial" w:hAnsi="Arial" w:cs="Arial"/>
          <w:sz w:val="20"/>
          <w:szCs w:val="20"/>
          <w:lang w:val="en-GB"/>
        </w:rPr>
        <w:t>)</w:t>
      </w:r>
      <w:r w:rsidR="00CD750F" w:rsidRPr="001F66E9">
        <w:rPr>
          <w:rFonts w:ascii="Arial" w:hAnsi="Arial" w:cs="Arial"/>
          <w:sz w:val="20"/>
          <w:szCs w:val="20"/>
          <w:lang w:val="en-GB" w:eastAsia="ja-JP"/>
        </w:rPr>
        <w:t>.</w:t>
      </w:r>
    </w:p>
    <w:p w14:paraId="6763EF97" w14:textId="17210EDD" w:rsidR="00BF1105" w:rsidRPr="008A6B97" w:rsidRDefault="00BF1105" w:rsidP="00BF1105">
      <w:pPr>
        <w:spacing w:before="240"/>
        <w:jc w:val="both"/>
        <w:rPr>
          <w:rFonts w:cs="Arial"/>
          <w:szCs w:val="20"/>
          <w:lang w:val="en-GB" w:eastAsia="ja-JP"/>
        </w:rPr>
      </w:pPr>
      <w:r>
        <w:rPr>
          <w:rFonts w:cs="Arial"/>
          <w:szCs w:val="20"/>
          <w:lang w:val="en-GB" w:eastAsia="ja-JP"/>
        </w:rPr>
        <w:t xml:space="preserve">Putting together this information, we observed that LTE resource exclusion based on RSSI averages may </w:t>
      </w:r>
      <w:r w:rsidR="00215AE0">
        <w:rPr>
          <w:rFonts w:cs="Arial"/>
          <w:szCs w:val="20"/>
          <w:lang w:val="en-GB" w:eastAsia="ja-JP"/>
        </w:rPr>
        <w:t xml:space="preserve">be </w:t>
      </w:r>
      <w:r w:rsidR="00215AE0" w:rsidRPr="005212BF">
        <w:rPr>
          <w:rFonts w:cs="Arial"/>
          <w:szCs w:val="20"/>
          <w:lang w:val="en-GB" w:eastAsia="ja-JP"/>
        </w:rPr>
        <w:t xml:space="preserve">useful for excluding </w:t>
      </w:r>
      <w:r w:rsidR="00FD0864" w:rsidRPr="005212BF">
        <w:rPr>
          <w:rFonts w:cs="Arial"/>
          <w:szCs w:val="20"/>
          <w:lang w:val="en-GB" w:eastAsia="ja-JP"/>
        </w:rPr>
        <w:t xml:space="preserve">subframes overlapping with NR </w:t>
      </w:r>
      <w:r w:rsidR="00FD0864" w:rsidRPr="007A6EBA">
        <w:rPr>
          <w:rFonts w:cs="Arial"/>
          <w:szCs w:val="20"/>
          <w:lang w:val="en-GB" w:eastAsia="ja-JP"/>
        </w:rPr>
        <w:t>slot</w:t>
      </w:r>
      <w:r w:rsidR="00FD0864" w:rsidRPr="008A6B97">
        <w:rPr>
          <w:rFonts w:cs="Arial"/>
          <w:szCs w:val="20"/>
          <w:lang w:val="en-GB" w:eastAsia="ja-JP"/>
        </w:rPr>
        <w:t>s</w:t>
      </w:r>
      <w:r w:rsidR="00C34A60" w:rsidRPr="008A6B97">
        <w:rPr>
          <w:rFonts w:cs="Arial"/>
          <w:szCs w:val="20"/>
          <w:lang w:val="en-GB" w:eastAsia="ja-JP"/>
        </w:rPr>
        <w:t xml:space="preserve"> with PSFCH</w:t>
      </w:r>
      <w:r w:rsidR="00C155AF" w:rsidRPr="008A6B97">
        <w:rPr>
          <w:rFonts w:cs="Arial"/>
          <w:szCs w:val="20"/>
          <w:lang w:val="en-GB" w:eastAsia="ja-JP"/>
        </w:rPr>
        <w:t xml:space="preserve"> resources</w:t>
      </w:r>
      <w:r w:rsidR="00FD0864" w:rsidRPr="008A6B97">
        <w:rPr>
          <w:rFonts w:cs="Arial"/>
          <w:szCs w:val="20"/>
          <w:lang w:val="en-GB" w:eastAsia="ja-JP"/>
        </w:rPr>
        <w:t xml:space="preserve">. </w:t>
      </w:r>
    </w:p>
    <w:p w14:paraId="374192AF" w14:textId="76A14AC6" w:rsidR="008B63B2" w:rsidRPr="00F7224F" w:rsidRDefault="008B63B2" w:rsidP="008B63B2">
      <w:pPr>
        <w:pStyle w:val="Observation"/>
        <w:ind w:left="1701" w:hanging="1701"/>
        <w:rPr>
          <w:lang w:val="en-GB"/>
        </w:rPr>
      </w:pPr>
      <w:bookmarkStart w:id="22" w:name="_Toc118727581"/>
      <w:r w:rsidRPr="00F7224F">
        <w:rPr>
          <w:lang w:val="en-GB"/>
        </w:rPr>
        <w:lastRenderedPageBreak/>
        <w:t>LTE Resource exclusion based on RSSI averages may successfully exclude resources in subframes overlapping with NR slots configured with PSFCH.</w:t>
      </w:r>
      <w:bookmarkEnd w:id="22"/>
    </w:p>
    <w:p w14:paraId="15068C50" w14:textId="5CF0C141" w:rsidR="008B63B2" w:rsidRDefault="00364DE4" w:rsidP="00F7224F">
      <w:pPr>
        <w:jc w:val="both"/>
        <w:rPr>
          <w:rFonts w:cs="Arial"/>
          <w:szCs w:val="20"/>
          <w:lang w:val="en-GB" w:eastAsia="ja-JP"/>
        </w:rPr>
      </w:pPr>
      <w:r>
        <w:rPr>
          <w:rFonts w:cs="Arial"/>
          <w:szCs w:val="20"/>
          <w:lang w:val="en-GB" w:eastAsia="ja-JP"/>
        </w:rPr>
        <w:t xml:space="preserve">So far, we have concluded that we can expect that LTE transmissions mostly </w:t>
      </w:r>
      <w:r w:rsidR="001E2CE7">
        <w:rPr>
          <w:rFonts w:cs="Arial"/>
          <w:szCs w:val="20"/>
          <w:lang w:val="en-GB" w:eastAsia="ja-JP"/>
        </w:rPr>
        <w:t xml:space="preserve">to </w:t>
      </w:r>
      <w:r>
        <w:rPr>
          <w:rFonts w:cs="Arial"/>
          <w:szCs w:val="20"/>
          <w:lang w:val="en-GB" w:eastAsia="ja-JP"/>
        </w:rPr>
        <w:t>take place on the other subframes, i.e., those that do not overlap with NR slots with PSFCH resources.</w:t>
      </w:r>
      <w:r w:rsidR="00C83EE4">
        <w:rPr>
          <w:rFonts w:cs="Arial"/>
          <w:szCs w:val="20"/>
          <w:lang w:val="en-GB" w:eastAsia="ja-JP"/>
        </w:rPr>
        <w:t xml:space="preserve"> </w:t>
      </w:r>
      <w:r w:rsidR="006567DF">
        <w:rPr>
          <w:rFonts w:cs="Arial"/>
          <w:szCs w:val="20"/>
          <w:lang w:val="en-GB" w:eastAsia="ja-JP"/>
        </w:rPr>
        <w:t>However, a</w:t>
      </w:r>
      <w:r w:rsidR="00C83EE4">
        <w:rPr>
          <w:rFonts w:cs="Arial"/>
          <w:szCs w:val="20"/>
          <w:lang w:val="en-GB" w:eastAsia="ja-JP"/>
        </w:rPr>
        <w:t xml:space="preserve"> </w:t>
      </w:r>
      <w:r w:rsidR="00C91BE3">
        <w:rPr>
          <w:rFonts w:cs="Arial"/>
          <w:szCs w:val="20"/>
          <w:lang w:val="en-GB" w:eastAsia="ja-JP"/>
        </w:rPr>
        <w:t xml:space="preserve">corresponding </w:t>
      </w:r>
      <w:r w:rsidR="006333A6">
        <w:rPr>
          <w:rFonts w:cs="Arial"/>
          <w:szCs w:val="20"/>
          <w:lang w:val="en-GB" w:eastAsia="ja-JP"/>
        </w:rPr>
        <w:t>behaviour</w:t>
      </w:r>
      <w:r w:rsidR="00C91BE3">
        <w:rPr>
          <w:rFonts w:cs="Arial"/>
          <w:szCs w:val="20"/>
          <w:lang w:val="en-GB" w:eastAsia="ja-JP"/>
        </w:rPr>
        <w:t xml:space="preserve"> from NR UEs is necessary. That is,</w:t>
      </w:r>
      <w:r w:rsidR="00DA60AD">
        <w:rPr>
          <w:rFonts w:cs="Arial"/>
          <w:szCs w:val="20"/>
          <w:lang w:val="en-GB" w:eastAsia="ja-JP"/>
        </w:rPr>
        <w:t xml:space="preserve"> NR UEs should concentrate their SL transmissions on slots with PSFCH resources. </w:t>
      </w:r>
    </w:p>
    <w:p w14:paraId="7C863D78" w14:textId="517C0947" w:rsidR="00F3739A" w:rsidRPr="00BF1105" w:rsidRDefault="00F3739A" w:rsidP="00F7224F">
      <w:pPr>
        <w:pStyle w:val="Observation"/>
        <w:ind w:left="1701" w:hanging="1701"/>
        <w:rPr>
          <w:lang w:val="en-GB"/>
        </w:rPr>
      </w:pPr>
      <w:bookmarkStart w:id="23" w:name="_Toc118727582"/>
      <w:r>
        <w:rPr>
          <w:lang w:val="en-GB"/>
        </w:rPr>
        <w:t xml:space="preserve">For </w:t>
      </w:r>
      <w:r w:rsidR="00AA76D4">
        <w:rPr>
          <w:lang w:val="en-GB"/>
        </w:rPr>
        <w:t xml:space="preserve">correct coexistence between NR and LTE </w:t>
      </w:r>
      <w:proofErr w:type="spellStart"/>
      <w:r w:rsidR="00AA76D4">
        <w:rPr>
          <w:lang w:val="en-GB"/>
        </w:rPr>
        <w:t>sidelinks</w:t>
      </w:r>
      <w:proofErr w:type="spellEnd"/>
      <w:r w:rsidR="00AA76D4">
        <w:rPr>
          <w:lang w:val="en-GB"/>
        </w:rPr>
        <w:t>, NR UEs should prioritize transmitting PSCCH+PSSCH using slots with PSFCH resources.</w:t>
      </w:r>
      <w:bookmarkEnd w:id="23"/>
    </w:p>
    <w:p w14:paraId="6123A5D6" w14:textId="58DE791F" w:rsidR="001B01B7" w:rsidRDefault="00C3316F" w:rsidP="001B01B7">
      <w:pPr>
        <w:jc w:val="both"/>
        <w:rPr>
          <w:rFonts w:cs="Arial"/>
          <w:szCs w:val="20"/>
          <w:lang w:val="en-GB" w:eastAsia="ja-JP"/>
        </w:rPr>
      </w:pPr>
      <w:r w:rsidRPr="00F7224F">
        <w:rPr>
          <w:rFonts w:cs="Arial"/>
          <w:szCs w:val="20"/>
          <w:lang w:val="en-GB" w:eastAsia="ja-JP"/>
        </w:rPr>
        <w:t>In this</w:t>
      </w:r>
      <w:r>
        <w:rPr>
          <w:rFonts w:cs="Arial"/>
          <w:szCs w:val="20"/>
          <w:lang w:val="en-GB" w:eastAsia="ja-JP"/>
        </w:rPr>
        <w:t xml:space="preserve"> way, </w:t>
      </w:r>
      <w:r w:rsidR="00A5001E">
        <w:rPr>
          <w:rFonts w:cs="Arial"/>
          <w:szCs w:val="20"/>
          <w:lang w:val="en-GB" w:eastAsia="ja-JP"/>
        </w:rPr>
        <w:t xml:space="preserve">LTE and NR </w:t>
      </w:r>
      <w:proofErr w:type="spellStart"/>
      <w:r w:rsidR="00A5001E">
        <w:rPr>
          <w:rFonts w:cs="Arial"/>
          <w:szCs w:val="20"/>
          <w:lang w:val="en-GB" w:eastAsia="ja-JP"/>
        </w:rPr>
        <w:t>sidelinks</w:t>
      </w:r>
      <w:proofErr w:type="spellEnd"/>
      <w:r w:rsidR="00A5001E">
        <w:rPr>
          <w:rFonts w:cs="Arial"/>
          <w:szCs w:val="20"/>
          <w:lang w:val="en-GB" w:eastAsia="ja-JP"/>
        </w:rPr>
        <w:t xml:space="preserve"> will be </w:t>
      </w:r>
      <w:proofErr w:type="spellStart"/>
      <w:r w:rsidR="00A5001E">
        <w:rPr>
          <w:rFonts w:cs="Arial"/>
          <w:szCs w:val="20"/>
          <w:lang w:val="en-GB" w:eastAsia="ja-JP"/>
        </w:rPr>
        <w:t>TDMed</w:t>
      </w:r>
      <w:proofErr w:type="spellEnd"/>
      <w:r w:rsidR="00A5001E">
        <w:rPr>
          <w:rFonts w:cs="Arial"/>
          <w:szCs w:val="20"/>
          <w:lang w:val="en-GB" w:eastAsia="ja-JP"/>
        </w:rPr>
        <w:t xml:space="preserve"> in a dynamic manner. </w:t>
      </w:r>
      <w:r w:rsidR="0007139B">
        <w:rPr>
          <w:rFonts w:cs="Arial"/>
          <w:szCs w:val="20"/>
          <w:lang w:val="en-GB" w:eastAsia="ja-JP"/>
        </w:rPr>
        <w:t xml:space="preserve">In conclusion, </w:t>
      </w:r>
      <w:r w:rsidR="00575942">
        <w:rPr>
          <w:rFonts w:cs="Arial"/>
          <w:szCs w:val="20"/>
          <w:lang w:val="en-GB" w:eastAsia="ja-JP"/>
        </w:rPr>
        <w:t>we propose that Rel-18 NR UEs prioritize the use of slots with PSFCH resources whenever LTE transmissions are detected.</w:t>
      </w:r>
    </w:p>
    <w:p w14:paraId="09224A72" w14:textId="77777777" w:rsidR="007E5400" w:rsidRPr="00F3380D" w:rsidRDefault="00FE72E0" w:rsidP="00FE72E0">
      <w:pPr>
        <w:pStyle w:val="Proposal"/>
        <w:rPr>
          <w:lang w:val="en-GB"/>
        </w:rPr>
      </w:pPr>
      <w:bookmarkStart w:id="24" w:name="_Toc118727555"/>
      <w:r>
        <w:rPr>
          <w:lang w:val="en-GB"/>
        </w:rPr>
        <w:t xml:space="preserve">For dynamic coexistence of NR and LTE SLs, </w:t>
      </w:r>
      <w:r w:rsidR="007E5400">
        <w:t>Alt 2 is supported:</w:t>
      </w:r>
      <w:bookmarkEnd w:id="24"/>
    </w:p>
    <w:p w14:paraId="712BB238" w14:textId="126AE5CE" w:rsidR="00FE72E0" w:rsidRPr="00F3380D" w:rsidRDefault="00FE72E0" w:rsidP="007E5400">
      <w:pPr>
        <w:pStyle w:val="Proposal"/>
        <w:numPr>
          <w:ilvl w:val="0"/>
          <w:numId w:val="43"/>
        </w:numPr>
        <w:rPr>
          <w:lang w:val="en-GB"/>
        </w:rPr>
      </w:pPr>
      <w:bookmarkStart w:id="25" w:name="_Toc118727556"/>
      <w:r>
        <w:rPr>
          <w:lang w:val="en-GB"/>
        </w:rPr>
        <w:t xml:space="preserve">Rel-18 NR UEs prioritize </w:t>
      </w:r>
      <w:r w:rsidR="008E5DF6">
        <w:t>transmission of PSCCH/PSSCH i</w:t>
      </w:r>
      <w:r w:rsidR="00277129">
        <w:t>n slots belong</w:t>
      </w:r>
      <w:r w:rsidR="00E224A6">
        <w:t>ing</w:t>
      </w:r>
      <w:r w:rsidR="00277129">
        <w:t xml:space="preserve"> to a periodically repeating set of slots that are configured with PSFCH resources</w:t>
      </w:r>
      <w:r w:rsidRPr="0098035C">
        <w:rPr>
          <w:rFonts w:cs="Arial"/>
          <w:szCs w:val="20"/>
          <w:lang w:val="en-GB" w:eastAsia="ja-JP"/>
        </w:rPr>
        <w:t>.</w:t>
      </w:r>
      <w:bookmarkEnd w:id="25"/>
    </w:p>
    <w:p w14:paraId="68B44A78" w14:textId="598031C2" w:rsidR="00277129" w:rsidRPr="00B0408A" w:rsidRDefault="00277129" w:rsidP="00F3380D">
      <w:pPr>
        <w:pStyle w:val="Proposal"/>
        <w:numPr>
          <w:ilvl w:val="0"/>
          <w:numId w:val="43"/>
        </w:numPr>
        <w:rPr>
          <w:lang w:val="en-GB"/>
        </w:rPr>
      </w:pPr>
      <w:bookmarkStart w:id="26" w:name="_Toc118727557"/>
      <w:r>
        <w:t>The corresponding SL HARQ FB is also transmitted in slots belong</w:t>
      </w:r>
      <w:r w:rsidR="008C53D7">
        <w:t>ing</w:t>
      </w:r>
      <w:r>
        <w:t xml:space="preserve"> to the periodically repeating set of slots that are configured with PSFCH resources</w:t>
      </w:r>
      <w:r w:rsidRPr="0098035C">
        <w:rPr>
          <w:rFonts w:cs="Arial"/>
          <w:szCs w:val="20"/>
          <w:lang w:val="en-GB" w:eastAsia="ja-JP"/>
        </w:rPr>
        <w:t>.</w:t>
      </w:r>
      <w:bookmarkEnd w:id="26"/>
    </w:p>
    <w:p w14:paraId="14F64F01" w14:textId="5436AF02" w:rsidR="00C3466D" w:rsidRDefault="00B33F29" w:rsidP="0098035C">
      <w:pPr>
        <w:pStyle w:val="Caption"/>
        <w:keepNext/>
        <w:jc w:val="center"/>
      </w:pPr>
      <w:r>
        <w:t xml:space="preserve"> </w:t>
      </w:r>
      <w:r w:rsidR="00C3466D">
        <w:t xml:space="preserve">Table </w:t>
      </w:r>
      <w:r w:rsidR="00C3466D">
        <w:fldChar w:fldCharType="begin"/>
      </w:r>
      <w:r w:rsidR="00C3466D">
        <w:instrText xml:space="preserve"> SEQ Table \* ARABIC </w:instrText>
      </w:r>
      <w:r w:rsidR="00C3466D">
        <w:fldChar w:fldCharType="separate"/>
      </w:r>
      <w:r w:rsidR="003C0409">
        <w:rPr>
          <w:noProof/>
        </w:rPr>
        <w:t>2</w:t>
      </w:r>
      <w:r w:rsidR="00C3466D">
        <w:fldChar w:fldCharType="end"/>
      </w:r>
      <w:bookmarkEnd w:id="21"/>
      <w:r w:rsidR="008518F4">
        <w:t>.</w:t>
      </w:r>
      <w:r w:rsidR="00FF30F2">
        <w:t xml:space="preserve"> </w:t>
      </w:r>
      <w:r w:rsidR="00FF30F2" w:rsidRPr="00FF30F2">
        <w:t xml:space="preserve">UE procedure for determining the subset of resources to be reported to higher layers in PSSCH resource selection in </w:t>
      </w:r>
      <w:proofErr w:type="spellStart"/>
      <w:r w:rsidR="00FF30F2" w:rsidRPr="00FF30F2">
        <w:t>sidelink</w:t>
      </w:r>
      <w:proofErr w:type="spellEnd"/>
      <w:r w:rsidR="00FF30F2" w:rsidRPr="00FF30F2">
        <w:t xml:space="preserve"> transmission mode 4 and in sensing measurement in </w:t>
      </w:r>
      <w:proofErr w:type="spellStart"/>
      <w:r w:rsidR="00FF30F2" w:rsidRPr="00FF30F2">
        <w:t>sidelink</w:t>
      </w:r>
      <w:proofErr w:type="spellEnd"/>
      <w:r w:rsidR="00FF30F2" w:rsidRPr="00FF30F2">
        <w:t xml:space="preserve"> transmission mode 3</w:t>
      </w:r>
      <w:r w:rsidR="00FF30F2">
        <w:t xml:space="preserve"> (</w:t>
      </w:r>
      <w:r w:rsidR="002C205B">
        <w:t xml:space="preserve">part of </w:t>
      </w:r>
      <w:r w:rsidR="00FF30F2">
        <w:t xml:space="preserve">TS 36.213 Clause </w:t>
      </w:r>
      <w:r w:rsidR="00FF30F2" w:rsidRPr="00FF30F2">
        <w:t>14.1.1.6</w:t>
      </w:r>
      <w:r w:rsidR="00FF30F2">
        <w:t>)</w:t>
      </w:r>
      <w:r w:rsidR="00A73E63">
        <w:t>.</w:t>
      </w:r>
    </w:p>
    <w:tbl>
      <w:tblPr>
        <w:tblStyle w:val="TableGrid"/>
        <w:tblW w:w="0" w:type="auto"/>
        <w:tblLook w:val="04A0" w:firstRow="1" w:lastRow="0" w:firstColumn="1" w:lastColumn="0" w:noHBand="0" w:noVBand="1"/>
      </w:tblPr>
      <w:tblGrid>
        <w:gridCol w:w="9629"/>
      </w:tblGrid>
      <w:tr w:rsidR="00E646AD" w:rsidRPr="00566BDE" w14:paraId="7AC40AAA" w14:textId="77777777" w:rsidTr="00E646AD">
        <w:tc>
          <w:tcPr>
            <w:tcW w:w="9629" w:type="dxa"/>
          </w:tcPr>
          <w:p w14:paraId="7E53DF28" w14:textId="77777777" w:rsidR="00B7435D" w:rsidRPr="004E0644" w:rsidRDefault="00B7435D" w:rsidP="00B7435D">
            <w:pPr>
              <w:overflowPunct w:val="0"/>
              <w:autoSpaceDE w:val="0"/>
              <w:autoSpaceDN w:val="0"/>
              <w:adjustRightInd w:val="0"/>
              <w:spacing w:after="180" w:line="240" w:lineRule="auto"/>
              <w:textAlignment w:val="baseline"/>
              <w:rPr>
                <w:rFonts w:ascii="Times New Roman" w:eastAsia="Malgun Gothic" w:hAnsi="Times New Roman" w:cs="Times New Roman"/>
                <w:sz w:val="18"/>
                <w:szCs w:val="18"/>
                <w:lang w:val="en-GB" w:eastAsia="ko-KR"/>
              </w:rPr>
            </w:pPr>
            <w:r w:rsidRPr="00B42DEC">
              <w:rPr>
                <w:rFonts w:ascii="Times New Roman" w:eastAsia="Malgun Gothic" w:hAnsi="Times New Roman" w:cs="Times New Roman"/>
                <w:szCs w:val="18"/>
                <w:lang w:val="en-GB" w:eastAsia="ko-KR"/>
              </w:rPr>
              <w:t xml:space="preserve">If partial sensing is not configured by higher </w:t>
            </w:r>
            <w:proofErr w:type="gramStart"/>
            <w:r w:rsidRPr="00B42DEC">
              <w:rPr>
                <w:rFonts w:ascii="Times New Roman" w:eastAsia="Malgun Gothic" w:hAnsi="Times New Roman" w:cs="Times New Roman"/>
                <w:szCs w:val="18"/>
                <w:lang w:val="en-GB" w:eastAsia="ko-KR"/>
              </w:rPr>
              <w:t>layers</w:t>
            </w:r>
            <w:proofErr w:type="gramEnd"/>
            <w:r w:rsidRPr="00B42DEC">
              <w:rPr>
                <w:rFonts w:ascii="Times New Roman" w:eastAsia="Malgun Gothic" w:hAnsi="Times New Roman" w:cs="Times New Roman"/>
                <w:szCs w:val="18"/>
                <w:lang w:val="en-GB" w:eastAsia="ko-KR"/>
              </w:rPr>
              <w:t xml:space="preserve"> then the following steps are used:</w:t>
            </w:r>
          </w:p>
          <w:p w14:paraId="72A4F1D9" w14:textId="7416FA96" w:rsidR="00B7435D" w:rsidRPr="00763D39" w:rsidRDefault="00B7435D" w:rsidP="00A45730">
            <w:pPr>
              <w:numPr>
                <w:ilvl w:val="0"/>
                <w:numId w:val="21"/>
              </w:num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18"/>
                <w:szCs w:val="18"/>
                <w:lang w:val="en-GB" w:eastAsia="ko-KR"/>
              </w:rPr>
            </w:pPr>
            <w:r w:rsidRPr="00B42DEC">
              <w:rPr>
                <w:rFonts w:ascii="Times New Roman" w:eastAsia="Malgun Gothic" w:hAnsi="Times New Roman" w:cs="Times New Roman"/>
                <w:szCs w:val="18"/>
                <w:lang w:val="en-GB" w:eastAsia="ko-KR"/>
              </w:rPr>
              <w:t>1)</w:t>
            </w:r>
            <w:r w:rsidRPr="00B42DEC">
              <w:rPr>
                <w:rFonts w:ascii="Times New Roman" w:eastAsia="Malgun Gothic" w:hAnsi="Times New Roman" w:cs="Times New Roman"/>
                <w:szCs w:val="18"/>
                <w:lang w:val="en-GB" w:eastAsia="ko-KR"/>
              </w:rPr>
              <w:tab/>
              <w:t xml:space="preserve">A candidate single-subframe resource for PSSCH transmission </w:t>
            </w:r>
            <w:r w:rsidR="009A4C70" w:rsidRPr="00763D39">
              <w:rPr>
                <w:rFonts w:ascii="Times New Roman" w:eastAsia="Times New Roman" w:hAnsi="Times New Roman" w:cs="Times New Roman"/>
                <w:noProof/>
                <w:position w:val="-14"/>
                <w:szCs w:val="18"/>
                <w:lang w:val="en-GB" w:eastAsia="en-GB"/>
              </w:rPr>
              <w:drawing>
                <wp:inline distT="0" distB="0" distL="0" distR="0" wp14:anchorId="2DA31B94" wp14:editId="5AC7B2F3">
                  <wp:extent cx="279400" cy="244475"/>
                  <wp:effectExtent l="0" t="0" r="0" b="0"/>
                  <wp:docPr id="1159" name="Picture 1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5"/>
                          <pic:cNvPicPr>
                            <a:picLocks noRot="1" noChangeAspect="1" noEditPoints="1" noChangeArrowheads="1" noChangeShapeType="1" noCrop="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9400"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is defined as a set of </w:t>
            </w:r>
            <w:r w:rsidR="009A4C70" w:rsidRPr="00763D39">
              <w:rPr>
                <w:rFonts w:ascii="Times New Roman" w:eastAsia="Times New Roman" w:hAnsi="Times New Roman" w:cs="Times New Roman"/>
                <w:noProof/>
                <w:position w:val="-12"/>
                <w:szCs w:val="18"/>
                <w:lang w:val="en-GB" w:eastAsia="en-GB"/>
              </w:rPr>
              <w:drawing>
                <wp:inline distT="0" distB="0" distL="0" distR="0" wp14:anchorId="391A303A" wp14:editId="03434DC3">
                  <wp:extent cx="391160" cy="244475"/>
                  <wp:effectExtent l="0" t="0" r="2540" b="0"/>
                  <wp:docPr id="1158"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Rot="1" noChangeAspect="1" noEditPoints="1" noChangeArrowheads="1" noChangeShapeType="1" noCrop="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1160"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contiguous sub-channels with sub-channel </w:t>
            </w:r>
            <w:proofErr w:type="spellStart"/>
            <w:r w:rsidRPr="00B42DEC">
              <w:rPr>
                <w:rFonts w:ascii="Times New Roman" w:eastAsia="Malgun Gothic" w:hAnsi="Times New Roman" w:cs="Times New Roman"/>
                <w:i/>
                <w:szCs w:val="18"/>
                <w:lang w:val="en-GB" w:eastAsia="ko-KR"/>
              </w:rPr>
              <w:t>x+j</w:t>
            </w:r>
            <w:proofErr w:type="spellEnd"/>
            <w:r w:rsidRPr="00B42DEC">
              <w:rPr>
                <w:rFonts w:ascii="Times New Roman" w:eastAsia="Malgun Gothic" w:hAnsi="Times New Roman" w:cs="Times New Roman"/>
                <w:i/>
                <w:szCs w:val="18"/>
                <w:lang w:val="en-GB" w:eastAsia="ko-KR"/>
              </w:rPr>
              <w:t xml:space="preserve"> </w:t>
            </w:r>
            <w:r w:rsidRPr="00B42DEC">
              <w:rPr>
                <w:rFonts w:ascii="Times New Roman" w:eastAsia="Malgun Gothic" w:hAnsi="Times New Roman" w:cs="Times New Roman"/>
                <w:szCs w:val="18"/>
                <w:lang w:val="en-GB" w:eastAsia="ko-KR"/>
              </w:rPr>
              <w:t xml:space="preserve">in subframe </w:t>
            </w:r>
            <w:r w:rsidR="009A4C70" w:rsidRPr="00763D39">
              <w:rPr>
                <w:rFonts w:ascii="Times New Roman" w:eastAsia="Times New Roman" w:hAnsi="Times New Roman" w:cs="Times New Roman"/>
                <w:noProof/>
                <w:position w:val="-14"/>
                <w:szCs w:val="18"/>
                <w:lang w:val="en-GB" w:eastAsia="en-GB"/>
              </w:rPr>
              <w:drawing>
                <wp:inline distT="0" distB="0" distL="0" distR="0" wp14:anchorId="10BFB8AF" wp14:editId="4D39C679">
                  <wp:extent cx="202565" cy="251460"/>
                  <wp:effectExtent l="0" t="0" r="0" b="2540"/>
                  <wp:docPr id="1157" name="Picture 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3"/>
                          <pic:cNvPicPr>
                            <a:picLocks noRot="1" noChangeAspect="1" noEditPoints="1" noChangeArrowheads="1" noChangeShapeType="1" noCrop="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2565" cy="251460"/>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where </w:t>
            </w:r>
            <w:r w:rsidR="009A4C70" w:rsidRPr="00763D39">
              <w:rPr>
                <w:rFonts w:ascii="Times New Roman" w:eastAsia="Times New Roman" w:hAnsi="Times New Roman" w:cs="Times New Roman"/>
                <w:noProof/>
                <w:position w:val="-12"/>
                <w:szCs w:val="18"/>
                <w:lang w:val="en-GB" w:eastAsia="en-GB"/>
              </w:rPr>
              <w:drawing>
                <wp:inline distT="0" distB="0" distL="0" distR="0" wp14:anchorId="35C708C3" wp14:editId="1386ABD0">
                  <wp:extent cx="1102995" cy="244475"/>
                  <wp:effectExtent l="0" t="0" r="0" b="0"/>
                  <wp:docPr id="1156" name="Picture 1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
                          <pic:cNvPicPr>
                            <a:picLocks noRot="1" noChangeAspect="1" noEditPoints="1" noChangeArrowheads="1" noChangeShapeType="1" noCrop="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02995"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The UE shall assume that any set of </w:t>
            </w:r>
            <w:r w:rsidR="009A4C70" w:rsidRPr="00763D39">
              <w:rPr>
                <w:rFonts w:ascii="Times New Roman" w:eastAsia="Times New Roman" w:hAnsi="Times New Roman" w:cs="Times New Roman"/>
                <w:noProof/>
                <w:position w:val="-12"/>
                <w:szCs w:val="18"/>
                <w:lang w:val="en-GB" w:eastAsia="en-GB"/>
              </w:rPr>
              <w:drawing>
                <wp:inline distT="0" distB="0" distL="0" distR="0" wp14:anchorId="7AEAD8E2" wp14:editId="3FFA868E">
                  <wp:extent cx="391160" cy="244475"/>
                  <wp:effectExtent l="0" t="0" r="2540" b="0"/>
                  <wp:docPr id="1155"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Rot="1" noChangeAspect="1" noEditPoints="1" noChangeArrowheads="1" noChangeShapeType="1" noCrop="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1160"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contiguous sub-channels included in the corresponding PSSCH resource pool (described in 14.1.5) within the time interval </w:t>
            </w:r>
            <w:r w:rsidR="009A4C70" w:rsidRPr="00763D39">
              <w:rPr>
                <w:rFonts w:ascii="Times New Roman" w:eastAsia="Times New Roman" w:hAnsi="Times New Roman" w:cs="Times New Roman"/>
                <w:noProof/>
                <w:position w:val="-10"/>
                <w:szCs w:val="18"/>
                <w:lang w:val="en-GB" w:eastAsia="en-GB"/>
              </w:rPr>
              <w:drawing>
                <wp:inline distT="0" distB="0" distL="0" distR="0" wp14:anchorId="64914C57" wp14:editId="57302431">
                  <wp:extent cx="886460" cy="216535"/>
                  <wp:effectExtent l="0" t="0" r="2540" b="0"/>
                  <wp:docPr id="1154"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Rot="1" noChangeAspect="1" noEditPoints="1" noChangeArrowheads="1" noChangeShapeType="1" noCrop="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86460" cy="21653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corresponds to one candidate single-subframe resource, where selections of </w:t>
            </w:r>
            <w:r w:rsidR="009A4C70" w:rsidRPr="00763D39">
              <w:rPr>
                <w:rFonts w:ascii="Times New Roman" w:eastAsia="Times New Roman" w:hAnsi="Times New Roman" w:cs="Times New Roman"/>
                <w:noProof/>
                <w:position w:val="-10"/>
                <w:szCs w:val="18"/>
                <w:lang w:val="en-GB" w:eastAsia="en-GB"/>
              </w:rPr>
              <w:drawing>
                <wp:inline distT="0" distB="0" distL="0" distR="0" wp14:anchorId="17FA46C0" wp14:editId="16059571">
                  <wp:extent cx="153670" cy="216535"/>
                  <wp:effectExtent l="0" t="0" r="0" b="0"/>
                  <wp:docPr id="1153"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Rot="1" noChangeAspect="1" noEditPoints="1" noChangeArrowheads="1" noChangeShapeType="1" noCrop="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3670" cy="21653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and </w:t>
            </w:r>
            <w:r w:rsidR="009A4C70" w:rsidRPr="00763D39">
              <w:rPr>
                <w:rFonts w:ascii="Times New Roman" w:eastAsia="Times New Roman" w:hAnsi="Times New Roman" w:cs="Times New Roman"/>
                <w:noProof/>
                <w:position w:val="-10"/>
                <w:szCs w:val="18"/>
                <w:lang w:val="en-GB" w:eastAsia="en-GB"/>
              </w:rPr>
              <w:drawing>
                <wp:inline distT="0" distB="0" distL="0" distR="0" wp14:anchorId="454027EC" wp14:editId="5EA1DA4E">
                  <wp:extent cx="167640" cy="216535"/>
                  <wp:effectExtent l="0" t="0" r="0" b="0"/>
                  <wp:docPr id="1152"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Rot="1" noChangeAspect="1" noEditPoints="1" noChangeArrowheads="1" noChangeShapeType="1" noCrop="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7640" cy="21653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are up to UE implementations under </w:t>
            </w:r>
            <w:r w:rsidR="009A4C70" w:rsidRPr="00763D39">
              <w:rPr>
                <w:rFonts w:ascii="Times New Roman" w:eastAsia="Times New Roman" w:hAnsi="Times New Roman" w:cs="Times New Roman"/>
                <w:noProof/>
                <w:position w:val="-12"/>
                <w:szCs w:val="18"/>
                <w:lang w:val="en-GB" w:eastAsia="en-GB"/>
              </w:rPr>
              <w:drawing>
                <wp:inline distT="0" distB="0" distL="0" distR="0" wp14:anchorId="5ACF5B64" wp14:editId="77BDAD08">
                  <wp:extent cx="391160" cy="244475"/>
                  <wp:effectExtent l="0" t="0" r="2540" b="0"/>
                  <wp:docPr id="1151"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Rot="1" noChangeAspect="1" noEditPoints="1" noChangeArrowheads="1" noChangeShapeType="1" noCrop="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1160"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and</w:t>
            </w:r>
            <w:r w:rsidRPr="00B42DEC">
              <w:rPr>
                <w:rFonts w:ascii="Times New Roman" w:eastAsia="Malgun Gothic" w:hAnsi="Times New Roman" w:cs="Times New Roman"/>
                <w:szCs w:val="18"/>
                <w:lang w:val="en-GB" w:eastAsia="en-GB"/>
              </w:rPr>
              <w:t xml:space="preserve"> </w:t>
            </w:r>
            <w:r w:rsidR="009A4C70" w:rsidRPr="00763D39">
              <w:rPr>
                <w:rFonts w:ascii="Times New Roman" w:eastAsia="Times New Roman" w:hAnsi="Times New Roman" w:cs="Times New Roman"/>
                <w:noProof/>
                <w:position w:val="-12"/>
                <w:szCs w:val="18"/>
                <w:lang w:val="en-GB" w:eastAsia="zh-CN"/>
              </w:rPr>
              <w:drawing>
                <wp:inline distT="0" distB="0" distL="0" distR="0" wp14:anchorId="6466E50F" wp14:editId="09C59DEA">
                  <wp:extent cx="1437640" cy="244475"/>
                  <wp:effectExtent l="0" t="0" r="0" b="0"/>
                  <wp:docPr id="1150"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Rot="1" noChangeAspect="1" noEditPoints="1" noChangeArrowheads="1" noChangeShapeType="1" noCrop="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37640" cy="244475"/>
                          </a:xfrm>
                          <a:prstGeom prst="rect">
                            <a:avLst/>
                          </a:prstGeom>
                          <a:noFill/>
                          <a:ln>
                            <a:noFill/>
                          </a:ln>
                        </pic:spPr>
                      </pic:pic>
                    </a:graphicData>
                  </a:graphic>
                </wp:inline>
              </w:drawing>
            </w:r>
            <w:r w:rsidRPr="00B42DEC">
              <w:rPr>
                <w:rFonts w:ascii="Times New Roman" w:eastAsia="Times New Roman" w:hAnsi="Times New Roman" w:cs="Times New Roman"/>
                <w:szCs w:val="18"/>
                <w:lang w:val="en-GB" w:eastAsia="en-GB"/>
              </w:rPr>
              <w:t xml:space="preserve">, if </w:t>
            </w:r>
            <w:r w:rsidR="009A4C70" w:rsidRPr="00763D39">
              <w:rPr>
                <w:rFonts w:ascii="Times New Roman" w:eastAsia="Times New Roman" w:hAnsi="Times New Roman" w:cs="Times New Roman"/>
                <w:noProof/>
                <w:position w:val="-12"/>
                <w:szCs w:val="18"/>
                <w:lang w:val="en-GB" w:eastAsia="zh-CN"/>
              </w:rPr>
              <w:drawing>
                <wp:inline distT="0" distB="0" distL="0" distR="0" wp14:anchorId="5DC898A7" wp14:editId="12607B9E">
                  <wp:extent cx="809625" cy="244475"/>
                  <wp:effectExtent l="0" t="0" r="0" b="0"/>
                  <wp:docPr id="1149"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pic:cNvPicPr>
                            <a:picLocks noRot="1" noChangeAspect="1" noEditPoints="1" noChangeArrowheads="1" noChangeShapeType="1" noCrop="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09625" cy="244475"/>
                          </a:xfrm>
                          <a:prstGeom prst="rect">
                            <a:avLst/>
                          </a:prstGeom>
                          <a:noFill/>
                          <a:ln>
                            <a:noFill/>
                          </a:ln>
                        </pic:spPr>
                      </pic:pic>
                    </a:graphicData>
                  </a:graphic>
                </wp:inline>
              </w:drawing>
            </w:r>
            <w:r w:rsidRPr="00B42DEC">
              <w:rPr>
                <w:rFonts w:ascii="Times New Roman" w:eastAsia="Times New Roman" w:hAnsi="Times New Roman" w:cs="Times New Roman"/>
                <w:szCs w:val="18"/>
                <w:lang w:val="en-GB" w:eastAsia="en-GB"/>
              </w:rPr>
              <w:t xml:space="preserve"> is provided by higher layers for </w:t>
            </w:r>
            <w:r w:rsidR="009A4C70" w:rsidRPr="00763D39">
              <w:rPr>
                <w:rFonts w:ascii="Times New Roman" w:eastAsia="Times New Roman" w:hAnsi="Times New Roman" w:cs="Times New Roman"/>
                <w:noProof/>
                <w:position w:val="-12"/>
                <w:szCs w:val="18"/>
                <w:lang w:val="en-GB" w:eastAsia="zh-CN"/>
              </w:rPr>
              <w:drawing>
                <wp:inline distT="0" distB="0" distL="0" distR="0" wp14:anchorId="0774F1DB" wp14:editId="09792361">
                  <wp:extent cx="419100" cy="244475"/>
                  <wp:effectExtent l="0" t="0" r="0" b="0"/>
                  <wp:docPr id="1148"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pic:cNvPicPr>
                            <a:picLocks noRot="1" noChangeAspect="1" noEditPoints="1" noChangeArrowheads="1" noChangeShapeType="1" noCrop="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19100" cy="244475"/>
                          </a:xfrm>
                          <a:prstGeom prst="rect">
                            <a:avLst/>
                          </a:prstGeom>
                          <a:noFill/>
                          <a:ln>
                            <a:noFill/>
                          </a:ln>
                        </pic:spPr>
                      </pic:pic>
                    </a:graphicData>
                  </a:graphic>
                </wp:inline>
              </w:drawing>
            </w:r>
            <w:r w:rsidRPr="00B42DEC">
              <w:rPr>
                <w:rFonts w:ascii="Times New Roman" w:eastAsia="Times New Roman" w:hAnsi="Times New Roman" w:cs="Times New Roman"/>
                <w:szCs w:val="18"/>
                <w:lang w:val="en-GB" w:eastAsia="en-GB"/>
              </w:rPr>
              <w:t>, otherwise</w:t>
            </w:r>
            <w:r w:rsidRPr="00B42DEC">
              <w:rPr>
                <w:rFonts w:ascii="Times New Roman" w:eastAsia="Malgun Gothic" w:hAnsi="Times New Roman" w:cs="Times New Roman"/>
                <w:szCs w:val="18"/>
                <w:lang w:val="en-GB" w:eastAsia="ko-KR"/>
              </w:rPr>
              <w:t xml:space="preserve"> </w:t>
            </w:r>
            <w:r w:rsidR="009A4C70" w:rsidRPr="00763D39">
              <w:rPr>
                <w:rFonts w:ascii="Times New Roman" w:eastAsia="Times New Roman" w:hAnsi="Times New Roman" w:cs="Times New Roman"/>
                <w:noProof/>
                <w:position w:val="-10"/>
                <w:szCs w:val="18"/>
                <w:lang w:val="en-GB" w:eastAsia="en-GB"/>
              </w:rPr>
              <w:drawing>
                <wp:inline distT="0" distB="0" distL="0" distR="0" wp14:anchorId="35BECC0C" wp14:editId="746A0C15">
                  <wp:extent cx="851535" cy="216535"/>
                  <wp:effectExtent l="0" t="0" r="0" b="0"/>
                  <wp:docPr id="1147"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Rot="1" noChangeAspect="1" noEditPoints="1" noChangeArrowheads="1" noChangeShapeType="1" noCrop="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51535" cy="21653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UE selection of </w:t>
            </w:r>
            <w:r w:rsidR="009A4C70" w:rsidRPr="00763D39">
              <w:rPr>
                <w:rFonts w:ascii="Times New Roman" w:eastAsia="Times New Roman" w:hAnsi="Times New Roman" w:cs="Times New Roman"/>
                <w:noProof/>
                <w:position w:val="-10"/>
                <w:szCs w:val="18"/>
                <w:lang w:val="en-GB" w:eastAsia="en-GB"/>
              </w:rPr>
              <w:drawing>
                <wp:inline distT="0" distB="0" distL="0" distR="0" wp14:anchorId="3F580AE3" wp14:editId="15DECE79">
                  <wp:extent cx="167640" cy="216535"/>
                  <wp:effectExtent l="0" t="0" r="0" b="0"/>
                  <wp:docPr id="1146"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Rot="1" noChangeAspect="1" noEditPoints="1" noChangeArrowheads="1" noChangeShapeType="1" noCrop="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67640" cy="21653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shall fulfil the latency requirement. The total number of the candidate single-subframe resources is denoted by</w:t>
            </w:r>
            <w:r w:rsidR="009A4C70" w:rsidRPr="00763D39">
              <w:rPr>
                <w:rFonts w:ascii="Times New Roman" w:eastAsia="Times New Roman" w:hAnsi="Times New Roman" w:cs="Times New Roman"/>
                <w:noProof/>
                <w:position w:val="-12"/>
                <w:szCs w:val="18"/>
                <w:lang w:val="en-GB" w:eastAsia="en-GB"/>
              </w:rPr>
              <w:drawing>
                <wp:inline distT="0" distB="0" distL="0" distR="0" wp14:anchorId="3A4317FD" wp14:editId="01EC43E3">
                  <wp:extent cx="356235" cy="244475"/>
                  <wp:effectExtent l="0" t="0" r="0" b="0"/>
                  <wp:docPr id="1145"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Rot="1" noChangeAspect="1" noEditPoints="1" noChangeArrowheads="1" noChangeShapeType="1" noCrop="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6235"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w:t>
            </w:r>
          </w:p>
          <w:p w14:paraId="3CDEF676" w14:textId="3098534A" w:rsidR="00B7435D" w:rsidRPr="00763D39" w:rsidRDefault="00B7435D" w:rsidP="00A45730">
            <w:pPr>
              <w:numPr>
                <w:ilvl w:val="0"/>
                <w:numId w:val="21"/>
              </w:num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18"/>
                <w:szCs w:val="18"/>
                <w:highlight w:val="yellow"/>
                <w:lang w:val="en-GB" w:eastAsia="ko-KR"/>
              </w:rPr>
            </w:pPr>
            <w:r w:rsidRPr="00B42DEC">
              <w:rPr>
                <w:rFonts w:ascii="Times New Roman" w:eastAsia="Malgun Gothic" w:hAnsi="Times New Roman" w:cs="Times New Roman"/>
                <w:szCs w:val="18"/>
                <w:highlight w:val="yellow"/>
                <w:lang w:val="en-GB" w:eastAsia="ko-KR"/>
              </w:rPr>
              <w:t>2)</w:t>
            </w:r>
            <w:r w:rsidRPr="00B42DEC">
              <w:rPr>
                <w:rFonts w:ascii="Times New Roman" w:eastAsia="Malgun Gothic" w:hAnsi="Times New Roman" w:cs="Times New Roman"/>
                <w:szCs w:val="18"/>
                <w:highlight w:val="yellow"/>
                <w:lang w:val="en-GB" w:eastAsia="ko-KR"/>
              </w:rPr>
              <w:tab/>
              <w:t xml:space="preserve">The UE shall monitor subframes </w:t>
            </w:r>
            <w:r w:rsidR="009A4C70" w:rsidRPr="00763D39">
              <w:rPr>
                <w:rFonts w:ascii="Times New Roman" w:eastAsia="Times New Roman" w:hAnsi="Times New Roman" w:cs="Times New Roman"/>
                <w:noProof/>
                <w:position w:val="-16"/>
                <w:szCs w:val="18"/>
                <w:highlight w:val="yellow"/>
                <w:lang w:val="en-GB" w:eastAsia="en-GB"/>
              </w:rPr>
              <w:drawing>
                <wp:inline distT="0" distB="0" distL="0" distR="0" wp14:anchorId="12A706AB" wp14:editId="1B335358">
                  <wp:extent cx="523240" cy="279400"/>
                  <wp:effectExtent l="0" t="0" r="0" b="0"/>
                  <wp:docPr id="1144"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Rot="1" noChangeAspect="1" noEditPoints="1" noChangeArrowheads="1" noChangeShapeType="1" noCrop="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23240" cy="279400"/>
                          </a:xfrm>
                          <a:prstGeom prst="rect">
                            <a:avLst/>
                          </a:prstGeom>
                          <a:noFill/>
                          <a:ln>
                            <a:noFill/>
                          </a:ln>
                        </pic:spPr>
                      </pic:pic>
                    </a:graphicData>
                  </a:graphic>
                </wp:inline>
              </w:drawing>
            </w:r>
            <w:r w:rsidRPr="00B42DEC">
              <w:rPr>
                <w:rFonts w:ascii="Times New Roman" w:eastAsia="Times New Roman" w:hAnsi="Times New Roman" w:cs="Times New Roman"/>
                <w:szCs w:val="18"/>
                <w:highlight w:val="yellow"/>
                <w:lang w:val="en-GB" w:eastAsia="zh-CN"/>
              </w:rPr>
              <w:t>,</w:t>
            </w:r>
            <w:r w:rsidR="009A4C70" w:rsidRPr="00763D39">
              <w:rPr>
                <w:rFonts w:ascii="Times New Roman" w:eastAsia="Times New Roman" w:hAnsi="Times New Roman" w:cs="Times New Roman"/>
                <w:noProof/>
                <w:position w:val="-16"/>
                <w:szCs w:val="18"/>
                <w:highlight w:val="yellow"/>
                <w:lang w:val="en-GB" w:eastAsia="en-GB"/>
              </w:rPr>
              <w:drawing>
                <wp:inline distT="0" distB="0" distL="0" distR="0" wp14:anchorId="24D0F896" wp14:editId="1381248E">
                  <wp:extent cx="607060" cy="279400"/>
                  <wp:effectExtent l="0" t="0" r="2540" b="0"/>
                  <wp:docPr id="1143"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Rot="1" noChangeAspect="1" noEditPoints="1" noChangeArrowheads="1" noChangeShapeType="1" noCrop="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07060" cy="279400"/>
                          </a:xfrm>
                          <a:prstGeom prst="rect">
                            <a:avLst/>
                          </a:prstGeom>
                          <a:noFill/>
                          <a:ln>
                            <a:noFill/>
                          </a:ln>
                        </pic:spPr>
                      </pic:pic>
                    </a:graphicData>
                  </a:graphic>
                </wp:inline>
              </w:drawing>
            </w:r>
            <w:r w:rsidRPr="00B42DEC">
              <w:rPr>
                <w:rFonts w:ascii="Times New Roman" w:eastAsia="Times New Roman" w:hAnsi="Times New Roman" w:cs="Times New Roman"/>
                <w:szCs w:val="18"/>
                <w:highlight w:val="yellow"/>
                <w:lang w:val="en-GB" w:eastAsia="zh-CN"/>
              </w:rPr>
              <w:t xml:space="preserve">, …, </w:t>
            </w:r>
            <w:r w:rsidR="009A4C70" w:rsidRPr="00763D39">
              <w:rPr>
                <w:rFonts w:ascii="Times New Roman" w:eastAsia="Times New Roman" w:hAnsi="Times New Roman" w:cs="Times New Roman"/>
                <w:noProof/>
                <w:position w:val="-12"/>
                <w:szCs w:val="18"/>
                <w:highlight w:val="yellow"/>
                <w:lang w:val="en-GB" w:eastAsia="en-GB"/>
              </w:rPr>
              <w:drawing>
                <wp:inline distT="0" distB="0" distL="0" distR="0" wp14:anchorId="0734B968" wp14:editId="741823D3">
                  <wp:extent cx="279400" cy="244475"/>
                  <wp:effectExtent l="0" t="0" r="0" b="0"/>
                  <wp:docPr id="1142"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Rot="1" noChangeAspect="1" noEditPoints="1" noChangeArrowheads="1" noChangeShapeType="1" noCrop="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9400" cy="244475"/>
                          </a:xfrm>
                          <a:prstGeom prst="rect">
                            <a:avLst/>
                          </a:prstGeom>
                          <a:noFill/>
                          <a:ln>
                            <a:noFill/>
                          </a:ln>
                        </pic:spPr>
                      </pic:pic>
                    </a:graphicData>
                  </a:graphic>
                </wp:inline>
              </w:drawing>
            </w:r>
            <w:r w:rsidRPr="00B42DEC">
              <w:rPr>
                <w:rFonts w:ascii="Times New Roman" w:eastAsia="Malgun Gothic" w:hAnsi="Times New Roman" w:cs="Times New Roman"/>
                <w:szCs w:val="18"/>
                <w:highlight w:val="yellow"/>
                <w:lang w:val="en-GB" w:eastAsia="ko-KR"/>
              </w:rPr>
              <w:t xml:space="preserve"> except for those in which its transmissions occur</w:t>
            </w:r>
            <w:r w:rsidRPr="00B42DEC">
              <w:rPr>
                <w:rFonts w:ascii="Times New Roman" w:eastAsia="Times New Roman" w:hAnsi="Times New Roman" w:cs="Times New Roman"/>
                <w:szCs w:val="18"/>
                <w:highlight w:val="yellow"/>
                <w:lang w:val="en-GB" w:eastAsia="zh-CN"/>
              </w:rPr>
              <w:t xml:space="preserve">, where </w:t>
            </w:r>
            <w:r w:rsidR="009A4C70" w:rsidRPr="00763D39">
              <w:rPr>
                <w:rFonts w:ascii="Times New Roman" w:eastAsia="Times New Roman" w:hAnsi="Times New Roman" w:cs="Times New Roman"/>
                <w:noProof/>
                <w:position w:val="-12"/>
                <w:szCs w:val="18"/>
                <w:highlight w:val="yellow"/>
                <w:lang w:val="en-GB" w:eastAsia="zh-CN"/>
              </w:rPr>
              <w:drawing>
                <wp:inline distT="0" distB="0" distL="0" distR="0" wp14:anchorId="29CC2F76" wp14:editId="0E4807E4">
                  <wp:extent cx="460375" cy="244475"/>
                  <wp:effectExtent l="0" t="0" r="0" b="0"/>
                  <wp:docPr id="1141"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Rot="1" noChangeAspect="1" noEditPoints="1" noChangeArrowheads="1" noChangeShapeType="1" noCrop="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60375" cy="244475"/>
                          </a:xfrm>
                          <a:prstGeom prst="rect">
                            <a:avLst/>
                          </a:prstGeom>
                          <a:noFill/>
                          <a:ln>
                            <a:noFill/>
                          </a:ln>
                        </pic:spPr>
                      </pic:pic>
                    </a:graphicData>
                  </a:graphic>
                </wp:inline>
              </w:drawing>
            </w:r>
            <w:r w:rsidRPr="00B42DEC">
              <w:rPr>
                <w:rFonts w:ascii="Times New Roman" w:eastAsia="Times New Roman" w:hAnsi="Times New Roman" w:cs="Times New Roman"/>
                <w:szCs w:val="18"/>
                <w:highlight w:val="yellow"/>
                <w:lang w:val="en-GB" w:eastAsia="zh-CN"/>
              </w:rPr>
              <w:t xml:space="preserve"> if subframe n belongs to the set </w:t>
            </w:r>
            <w:r w:rsidR="009A4C70" w:rsidRPr="00763D39">
              <w:rPr>
                <w:rFonts w:ascii="Times New Roman" w:eastAsia="Times New Roman" w:hAnsi="Times New Roman" w:cs="Times New Roman"/>
                <w:noProof/>
                <w:position w:val="-14"/>
                <w:szCs w:val="18"/>
                <w:highlight w:val="yellow"/>
                <w:lang w:val="en-GB" w:eastAsia="zh-CN"/>
              </w:rPr>
              <w:drawing>
                <wp:inline distT="0" distB="0" distL="0" distR="0" wp14:anchorId="65BD8807" wp14:editId="2ACA7ADB">
                  <wp:extent cx="942340" cy="251460"/>
                  <wp:effectExtent l="0" t="0" r="0" b="2540"/>
                  <wp:docPr id="1140"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Rot="1" noChangeAspect="1" noEditPoints="1" noChangeArrowheads="1" noChangeShapeType="1" noCrop="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42340" cy="251460"/>
                          </a:xfrm>
                          <a:prstGeom prst="rect">
                            <a:avLst/>
                          </a:prstGeom>
                          <a:noFill/>
                          <a:ln>
                            <a:noFill/>
                          </a:ln>
                        </pic:spPr>
                      </pic:pic>
                    </a:graphicData>
                  </a:graphic>
                </wp:inline>
              </w:drawing>
            </w:r>
            <w:r w:rsidRPr="00B42DEC">
              <w:rPr>
                <w:rFonts w:ascii="Times New Roman" w:eastAsia="Times New Roman" w:hAnsi="Times New Roman" w:cs="Times New Roman"/>
                <w:szCs w:val="18"/>
                <w:highlight w:val="yellow"/>
                <w:lang w:val="en-GB" w:eastAsia="zh-CN"/>
              </w:rPr>
              <w:t xml:space="preserve">, otherwise subframe </w:t>
            </w:r>
            <w:r w:rsidR="009A4C70" w:rsidRPr="00763D39">
              <w:rPr>
                <w:rFonts w:ascii="Times New Roman" w:eastAsia="Times New Roman" w:hAnsi="Times New Roman" w:cs="Times New Roman"/>
                <w:noProof/>
                <w:position w:val="-12"/>
                <w:szCs w:val="18"/>
                <w:highlight w:val="yellow"/>
                <w:lang w:val="en-GB" w:eastAsia="zh-CN"/>
              </w:rPr>
              <w:drawing>
                <wp:inline distT="0" distB="0" distL="0" distR="0" wp14:anchorId="015E6F1B" wp14:editId="691D0F13">
                  <wp:extent cx="202565" cy="244475"/>
                  <wp:effectExtent l="0" t="0" r="0" b="0"/>
                  <wp:docPr id="1139"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Rot="1" noChangeAspect="1" noEditPoints="1" noChangeArrowheads="1" noChangeShapeType="1" noCrop="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02565" cy="244475"/>
                          </a:xfrm>
                          <a:prstGeom prst="rect">
                            <a:avLst/>
                          </a:prstGeom>
                          <a:noFill/>
                          <a:ln>
                            <a:noFill/>
                          </a:ln>
                        </pic:spPr>
                      </pic:pic>
                    </a:graphicData>
                  </a:graphic>
                </wp:inline>
              </w:drawing>
            </w:r>
            <w:r w:rsidRPr="00B42DEC">
              <w:rPr>
                <w:rFonts w:ascii="Times New Roman" w:eastAsia="Times New Roman" w:hAnsi="Times New Roman" w:cs="Times New Roman"/>
                <w:szCs w:val="18"/>
                <w:highlight w:val="yellow"/>
                <w:lang w:val="en-GB" w:eastAsia="zh-CN"/>
              </w:rPr>
              <w:t xml:space="preserve">is the first subframe after subframe n belonging to the set </w:t>
            </w:r>
            <w:r w:rsidR="009A4C70" w:rsidRPr="00763D39">
              <w:rPr>
                <w:rFonts w:ascii="Times New Roman" w:eastAsia="Times New Roman" w:hAnsi="Times New Roman" w:cs="Times New Roman"/>
                <w:noProof/>
                <w:position w:val="-14"/>
                <w:szCs w:val="18"/>
                <w:highlight w:val="yellow"/>
                <w:lang w:val="en-GB" w:eastAsia="zh-CN"/>
              </w:rPr>
              <w:drawing>
                <wp:inline distT="0" distB="0" distL="0" distR="0" wp14:anchorId="06C05D2B" wp14:editId="5551C47C">
                  <wp:extent cx="942340" cy="251460"/>
                  <wp:effectExtent l="0" t="0" r="0" b="2540"/>
                  <wp:docPr id="1138"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Rot="1" noChangeAspect="1" noEditPoints="1" noChangeArrowheads="1" noChangeShapeType="1" noCrop="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42340" cy="251460"/>
                          </a:xfrm>
                          <a:prstGeom prst="rect">
                            <a:avLst/>
                          </a:prstGeom>
                          <a:noFill/>
                          <a:ln>
                            <a:noFill/>
                          </a:ln>
                        </pic:spPr>
                      </pic:pic>
                    </a:graphicData>
                  </a:graphic>
                </wp:inline>
              </w:drawing>
            </w:r>
            <w:r w:rsidRPr="00B42DEC">
              <w:rPr>
                <w:rFonts w:ascii="Times New Roman" w:eastAsia="Malgun Gothic" w:hAnsi="Times New Roman" w:cs="Times New Roman"/>
                <w:szCs w:val="18"/>
                <w:highlight w:val="yellow"/>
                <w:lang w:val="en-GB" w:eastAsia="ko-KR"/>
              </w:rPr>
              <w:t>. The UE shall perform the behaviour in the following steps based on PSCCH decoded and S-RSSI measured in these subframes.</w:t>
            </w:r>
          </w:p>
          <w:p w14:paraId="50A1E49C" w14:textId="5EC00F07" w:rsidR="00B7435D" w:rsidRPr="00763D39" w:rsidRDefault="00B7435D" w:rsidP="00A45730">
            <w:pPr>
              <w:numPr>
                <w:ilvl w:val="0"/>
                <w:numId w:val="21"/>
              </w:num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18"/>
                <w:szCs w:val="18"/>
                <w:lang w:val="en-GB" w:eastAsia="ko-KR"/>
              </w:rPr>
            </w:pPr>
            <w:r w:rsidRPr="00B42DEC">
              <w:rPr>
                <w:rFonts w:ascii="Times New Roman" w:eastAsia="Malgun Gothic" w:hAnsi="Times New Roman" w:cs="Times New Roman"/>
                <w:szCs w:val="18"/>
                <w:lang w:val="en-GB" w:eastAsia="ko-KR"/>
              </w:rPr>
              <w:t>3)</w:t>
            </w:r>
            <w:r w:rsidRPr="00B42DEC">
              <w:rPr>
                <w:rFonts w:ascii="Times New Roman" w:eastAsia="Malgun Gothic" w:hAnsi="Times New Roman" w:cs="Times New Roman"/>
                <w:szCs w:val="18"/>
                <w:lang w:val="en-GB" w:eastAsia="ko-KR"/>
              </w:rPr>
              <w:tab/>
              <w:t xml:space="preserve">The parameter </w:t>
            </w:r>
            <w:r w:rsidR="009A4C70" w:rsidRPr="00763D39">
              <w:rPr>
                <w:rFonts w:ascii="Times New Roman" w:eastAsia="Times New Roman" w:hAnsi="Times New Roman" w:cs="Times New Roman"/>
                <w:noProof/>
                <w:position w:val="-14"/>
                <w:szCs w:val="18"/>
                <w:lang w:val="en-GB" w:eastAsia="en-GB"/>
              </w:rPr>
              <w:drawing>
                <wp:inline distT="0" distB="0" distL="0" distR="0" wp14:anchorId="6E407D1A" wp14:editId="5E1AB3EB">
                  <wp:extent cx="314325" cy="244475"/>
                  <wp:effectExtent l="0" t="0" r="3175" b="0"/>
                  <wp:docPr id="1137"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Rot="1" noChangeAspect="1" noEditPoints="1" noChangeArrowheads="1" noChangeShapeType="1" noCrop="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14325"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is set to the value indicated by the i-</w:t>
            </w:r>
            <w:proofErr w:type="spellStart"/>
            <w:r w:rsidRPr="00B42DEC">
              <w:rPr>
                <w:rFonts w:ascii="Times New Roman" w:eastAsia="Malgun Gothic" w:hAnsi="Times New Roman" w:cs="Times New Roman"/>
                <w:szCs w:val="18"/>
                <w:lang w:val="en-GB" w:eastAsia="ko-KR"/>
              </w:rPr>
              <w:t>th</w:t>
            </w:r>
            <w:proofErr w:type="spellEnd"/>
            <w:r w:rsidRPr="00B42DEC">
              <w:rPr>
                <w:rFonts w:ascii="Times New Roman" w:eastAsia="Malgun Gothic" w:hAnsi="Times New Roman" w:cs="Times New Roman"/>
                <w:szCs w:val="18"/>
                <w:lang w:val="en-GB" w:eastAsia="ko-KR"/>
              </w:rPr>
              <w:t xml:space="preserve"> </w:t>
            </w:r>
            <w:r w:rsidRPr="00B42DEC">
              <w:rPr>
                <w:rFonts w:ascii="Times New Roman" w:eastAsia="Malgun Gothic" w:hAnsi="Times New Roman" w:cs="Times New Roman"/>
                <w:i/>
                <w:szCs w:val="18"/>
                <w:lang w:val="en-GB" w:eastAsia="ko-KR"/>
              </w:rPr>
              <w:t>SL-</w:t>
            </w:r>
            <w:proofErr w:type="spellStart"/>
            <w:r w:rsidRPr="00B42DEC">
              <w:rPr>
                <w:rFonts w:ascii="Times New Roman" w:eastAsia="Malgun Gothic" w:hAnsi="Times New Roman" w:cs="Times New Roman"/>
                <w:i/>
                <w:szCs w:val="18"/>
                <w:lang w:val="en-GB" w:eastAsia="ko-KR"/>
              </w:rPr>
              <w:t>ThresPSSCH</w:t>
            </w:r>
            <w:proofErr w:type="spellEnd"/>
            <w:r w:rsidRPr="00B42DEC">
              <w:rPr>
                <w:rFonts w:ascii="Times New Roman" w:eastAsia="Malgun Gothic" w:hAnsi="Times New Roman" w:cs="Times New Roman"/>
                <w:i/>
                <w:szCs w:val="18"/>
                <w:lang w:val="en-GB" w:eastAsia="ko-KR"/>
              </w:rPr>
              <w:t>-RSRP</w:t>
            </w:r>
            <w:r w:rsidRPr="00B42DEC">
              <w:rPr>
                <w:rFonts w:ascii="Times New Roman" w:eastAsia="Malgun Gothic" w:hAnsi="Times New Roman" w:cs="Times New Roman"/>
                <w:szCs w:val="18"/>
                <w:lang w:val="en-GB" w:eastAsia="ko-KR"/>
              </w:rPr>
              <w:t xml:space="preserve"> field in </w:t>
            </w:r>
            <w:r w:rsidRPr="00B42DEC">
              <w:rPr>
                <w:rFonts w:ascii="Times New Roman" w:eastAsia="Malgun Gothic" w:hAnsi="Times New Roman" w:cs="Times New Roman"/>
                <w:i/>
                <w:szCs w:val="18"/>
                <w:lang w:val="en-GB" w:eastAsia="ko-KR"/>
              </w:rPr>
              <w:t>SL-</w:t>
            </w:r>
            <w:proofErr w:type="spellStart"/>
            <w:r w:rsidRPr="00B42DEC">
              <w:rPr>
                <w:rFonts w:ascii="Times New Roman" w:eastAsia="Malgun Gothic" w:hAnsi="Times New Roman" w:cs="Times New Roman"/>
                <w:i/>
                <w:szCs w:val="18"/>
                <w:lang w:val="en-GB" w:eastAsia="ko-KR"/>
              </w:rPr>
              <w:t>ThresPSSCH</w:t>
            </w:r>
            <w:proofErr w:type="spellEnd"/>
            <w:r w:rsidRPr="00B42DEC">
              <w:rPr>
                <w:rFonts w:ascii="Times New Roman" w:eastAsia="Malgun Gothic" w:hAnsi="Times New Roman" w:cs="Times New Roman"/>
                <w:i/>
                <w:szCs w:val="18"/>
                <w:lang w:val="en-GB" w:eastAsia="ko-KR"/>
              </w:rPr>
              <w:t>-RSRP-List</w:t>
            </w:r>
            <w:r w:rsidRPr="00B42DEC">
              <w:rPr>
                <w:rFonts w:ascii="Times New Roman" w:eastAsia="Malgun Gothic" w:hAnsi="Times New Roman" w:cs="Times New Roman"/>
                <w:szCs w:val="18"/>
                <w:lang w:val="en-GB" w:eastAsia="ko-KR"/>
              </w:rPr>
              <w:t xml:space="preserve"> where </w:t>
            </w:r>
            <w:r w:rsidR="009A4C70" w:rsidRPr="00763D39">
              <w:rPr>
                <w:rFonts w:ascii="Times New Roman" w:eastAsia="Times New Roman" w:hAnsi="Times New Roman" w:cs="Times New Roman"/>
                <w:noProof/>
                <w:position w:val="-6"/>
                <w:szCs w:val="18"/>
                <w:lang w:val="en-GB" w:eastAsia="en-GB"/>
              </w:rPr>
              <w:drawing>
                <wp:inline distT="0" distB="0" distL="0" distR="0" wp14:anchorId="3DBA9238" wp14:editId="519DFBCC">
                  <wp:extent cx="928370" cy="174625"/>
                  <wp:effectExtent l="0" t="0" r="0" b="3175"/>
                  <wp:docPr id="1136"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Rot="1" noChangeAspect="1" noEditPoints="1" noChangeArrowheads="1" noChangeShapeType="1" noCrop="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28370" cy="17462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w:t>
            </w:r>
          </w:p>
          <w:p w14:paraId="6DCC030B" w14:textId="090D74E2" w:rsidR="00B7435D" w:rsidRPr="00763D39" w:rsidRDefault="00B7435D" w:rsidP="00A45730">
            <w:pPr>
              <w:numPr>
                <w:ilvl w:val="0"/>
                <w:numId w:val="21"/>
              </w:num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18"/>
                <w:szCs w:val="18"/>
                <w:lang w:val="en-GB" w:eastAsia="ko-KR"/>
              </w:rPr>
            </w:pPr>
            <w:r w:rsidRPr="00B42DEC">
              <w:rPr>
                <w:rFonts w:ascii="Times New Roman" w:eastAsia="Malgun Gothic" w:hAnsi="Times New Roman" w:cs="Times New Roman"/>
                <w:szCs w:val="18"/>
                <w:lang w:val="en-GB" w:eastAsia="ko-KR"/>
              </w:rPr>
              <w:t>4)</w:t>
            </w:r>
            <w:r w:rsidRPr="00B42DEC">
              <w:rPr>
                <w:rFonts w:ascii="Times New Roman" w:eastAsia="Malgun Gothic" w:hAnsi="Times New Roman" w:cs="Times New Roman"/>
                <w:szCs w:val="18"/>
                <w:lang w:val="en-GB" w:eastAsia="ko-KR"/>
              </w:rPr>
              <w:tab/>
              <w:t xml:space="preserve">The set </w:t>
            </w:r>
            <w:r w:rsidR="009A4C70" w:rsidRPr="00763D39">
              <w:rPr>
                <w:rFonts w:ascii="Times New Roman" w:eastAsia="Times New Roman" w:hAnsi="Times New Roman" w:cs="Times New Roman"/>
                <w:noProof/>
                <w:position w:val="-10"/>
                <w:szCs w:val="18"/>
                <w:lang w:val="en-GB" w:eastAsia="en-GB"/>
              </w:rPr>
              <w:drawing>
                <wp:inline distT="0" distB="0" distL="0" distR="0" wp14:anchorId="17954354" wp14:editId="466C9D0D">
                  <wp:extent cx="188595" cy="216535"/>
                  <wp:effectExtent l="0" t="0" r="1905" b="0"/>
                  <wp:docPr id="1135"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pic:cNvPicPr>
                            <a:picLocks noRot="1" noChangeAspect="1" noEditPoints="1" noChangeArrowheads="1" noChangeShapeType="1" noCrop="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8595" cy="21653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is initialized to the union of all the candidate single-subframe resources. The set </w:t>
            </w:r>
            <w:r w:rsidR="009A4C70" w:rsidRPr="00763D39">
              <w:rPr>
                <w:rFonts w:ascii="Times New Roman" w:eastAsia="Times New Roman" w:hAnsi="Times New Roman" w:cs="Times New Roman"/>
                <w:noProof/>
                <w:position w:val="-10"/>
                <w:szCs w:val="18"/>
                <w:lang w:val="en-GB" w:eastAsia="en-GB"/>
              </w:rPr>
              <w:drawing>
                <wp:inline distT="0" distB="0" distL="0" distR="0" wp14:anchorId="3747CE2E" wp14:editId="152844EC">
                  <wp:extent cx="188595" cy="216535"/>
                  <wp:effectExtent l="0" t="0" r="1905" b="0"/>
                  <wp:docPr id="1134"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Rot="1" noChangeAspect="1" noEditPoints="1" noChangeArrowheads="1" noChangeShapeType="1" noCrop="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8595" cy="21653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is initialized to an empty set. </w:t>
            </w:r>
          </w:p>
          <w:p w14:paraId="469DBD0C" w14:textId="6449C6CF" w:rsidR="00B7435D" w:rsidRPr="00763D39" w:rsidRDefault="00B7435D" w:rsidP="00A45730">
            <w:pPr>
              <w:numPr>
                <w:ilvl w:val="0"/>
                <w:numId w:val="21"/>
              </w:num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18"/>
                <w:szCs w:val="18"/>
                <w:lang w:val="en-GB" w:eastAsia="ko-KR"/>
              </w:rPr>
            </w:pPr>
            <w:r w:rsidRPr="00B42DEC">
              <w:rPr>
                <w:rFonts w:ascii="Times New Roman" w:eastAsia="Malgun Gothic" w:hAnsi="Times New Roman" w:cs="Times New Roman"/>
                <w:szCs w:val="18"/>
                <w:lang w:val="en-GB" w:eastAsia="ko-KR"/>
              </w:rPr>
              <w:t>5)</w:t>
            </w:r>
            <w:r w:rsidRPr="00B42DEC">
              <w:rPr>
                <w:rFonts w:ascii="Times New Roman" w:eastAsia="Malgun Gothic" w:hAnsi="Times New Roman" w:cs="Times New Roman"/>
                <w:szCs w:val="18"/>
                <w:lang w:val="en-GB" w:eastAsia="ko-KR"/>
              </w:rPr>
              <w:tab/>
              <w:t xml:space="preserve">The UE shall exclude any candidate single-subframe resource </w:t>
            </w:r>
            <w:r w:rsidR="009A4C70" w:rsidRPr="00763D39">
              <w:rPr>
                <w:rFonts w:ascii="Times New Roman" w:eastAsia="Times New Roman" w:hAnsi="Times New Roman" w:cs="Times New Roman"/>
                <w:noProof/>
                <w:position w:val="-14"/>
                <w:szCs w:val="18"/>
                <w:lang w:val="en-GB" w:eastAsia="en-GB"/>
              </w:rPr>
              <w:drawing>
                <wp:inline distT="0" distB="0" distL="0" distR="0" wp14:anchorId="521E76E9" wp14:editId="16EDA94C">
                  <wp:extent cx="279400" cy="244475"/>
                  <wp:effectExtent l="0" t="0" r="0" b="0"/>
                  <wp:docPr id="1133"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Rot="1" noChangeAspect="1" noEditPoints="1" noChangeArrowheads="1" noChangeShapeType="1" noCrop="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9400"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from the set </w:t>
            </w:r>
            <w:r w:rsidR="009A4C70" w:rsidRPr="00763D39">
              <w:rPr>
                <w:rFonts w:ascii="Times New Roman" w:eastAsia="Times New Roman" w:hAnsi="Times New Roman" w:cs="Times New Roman"/>
                <w:noProof/>
                <w:position w:val="-10"/>
                <w:szCs w:val="18"/>
                <w:lang w:val="en-GB" w:eastAsia="en-GB"/>
              </w:rPr>
              <w:drawing>
                <wp:inline distT="0" distB="0" distL="0" distR="0" wp14:anchorId="407B480A" wp14:editId="24720C03">
                  <wp:extent cx="188595" cy="216535"/>
                  <wp:effectExtent l="0" t="0" r="1905" b="0"/>
                  <wp:docPr id="1132"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Rot="1" noChangeAspect="1" noEditPoints="1" noChangeArrowheads="1" noChangeShapeType="1" noCrop="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8595" cy="21653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if it meets all the following conditions:</w:t>
            </w:r>
          </w:p>
          <w:p w14:paraId="2C6A5F89" w14:textId="7D5CE2B0" w:rsidR="00B7435D" w:rsidRPr="00763D39" w:rsidRDefault="00B7435D" w:rsidP="00B7435D">
            <w:pPr>
              <w:overflowPunct w:val="0"/>
              <w:autoSpaceDE w:val="0"/>
              <w:autoSpaceDN w:val="0"/>
              <w:adjustRightInd w:val="0"/>
              <w:spacing w:after="180" w:line="240" w:lineRule="auto"/>
              <w:ind w:left="851" w:hanging="284"/>
              <w:textAlignment w:val="baseline"/>
              <w:rPr>
                <w:rFonts w:ascii="Times New Roman" w:eastAsia="Malgun Gothic" w:hAnsi="Times New Roman" w:cs="Times New Roman"/>
                <w:sz w:val="18"/>
                <w:szCs w:val="18"/>
                <w:lang w:val="en-GB" w:eastAsia="ko-KR"/>
              </w:rPr>
            </w:pPr>
            <w:r w:rsidRPr="00B42DEC">
              <w:rPr>
                <w:rFonts w:ascii="Times New Roman" w:eastAsia="Malgun Gothic" w:hAnsi="Times New Roman" w:cs="Times New Roman"/>
                <w:szCs w:val="18"/>
                <w:lang w:val="en-GB" w:eastAsia="ko-KR"/>
              </w:rPr>
              <w:lastRenderedPageBreak/>
              <w:t>-</w:t>
            </w:r>
            <w:r w:rsidRPr="00B42DEC">
              <w:rPr>
                <w:rFonts w:ascii="Times New Roman" w:eastAsia="Malgun Gothic" w:hAnsi="Times New Roman" w:cs="Times New Roman"/>
                <w:szCs w:val="18"/>
                <w:lang w:val="en-GB" w:eastAsia="ko-KR"/>
              </w:rPr>
              <w:tab/>
              <w:t xml:space="preserve">the UE has not monitored subframe </w:t>
            </w:r>
            <w:r w:rsidR="009A4C70" w:rsidRPr="00763D39">
              <w:rPr>
                <w:rFonts w:ascii="Times New Roman" w:eastAsia="Times New Roman" w:hAnsi="Times New Roman" w:cs="Times New Roman"/>
                <w:noProof/>
                <w:position w:val="-10"/>
                <w:szCs w:val="18"/>
                <w:lang w:val="en-GB" w:eastAsia="en-GB"/>
              </w:rPr>
              <w:drawing>
                <wp:inline distT="0" distB="0" distL="0" distR="0" wp14:anchorId="3A41BAAE" wp14:editId="09DDEE9A">
                  <wp:extent cx="202565" cy="244475"/>
                  <wp:effectExtent l="0" t="0" r="0" b="0"/>
                  <wp:docPr id="1131"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Rot="1" noChangeAspect="1" noEditPoints="1" noChangeArrowheads="1" noChangeShapeType="1" noCrop="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02565"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in Step 2.</w:t>
            </w:r>
          </w:p>
          <w:p w14:paraId="07DFCD03" w14:textId="6F7184ED" w:rsidR="00B7435D" w:rsidRPr="00763D39" w:rsidRDefault="00B7435D" w:rsidP="00B7435D">
            <w:pPr>
              <w:overflowPunct w:val="0"/>
              <w:autoSpaceDE w:val="0"/>
              <w:autoSpaceDN w:val="0"/>
              <w:adjustRightInd w:val="0"/>
              <w:spacing w:after="180" w:line="240" w:lineRule="auto"/>
              <w:ind w:left="851" w:hanging="284"/>
              <w:textAlignment w:val="baseline"/>
              <w:rPr>
                <w:rFonts w:ascii="Times New Roman" w:eastAsia="Malgun Gothic" w:hAnsi="Times New Roman" w:cs="Times New Roman"/>
                <w:sz w:val="18"/>
                <w:szCs w:val="18"/>
                <w:lang w:val="en-GB" w:eastAsia="ko-KR"/>
              </w:rPr>
            </w:pPr>
            <w:r w:rsidRPr="00B42DEC">
              <w:rPr>
                <w:rFonts w:ascii="Times New Roman" w:eastAsia="Malgun Gothic" w:hAnsi="Times New Roman" w:cs="Times New Roman"/>
                <w:szCs w:val="18"/>
                <w:lang w:val="en-GB" w:eastAsia="ko-KR"/>
              </w:rPr>
              <w:t>-</w:t>
            </w:r>
            <w:r w:rsidRPr="00B42DEC">
              <w:rPr>
                <w:rFonts w:ascii="Times New Roman" w:eastAsia="Malgun Gothic" w:hAnsi="Times New Roman" w:cs="Times New Roman"/>
                <w:szCs w:val="18"/>
                <w:lang w:val="en-GB" w:eastAsia="ko-KR"/>
              </w:rPr>
              <w:tab/>
              <w:t xml:space="preserve">there is an integer </w:t>
            </w:r>
            <w:r w:rsidRPr="00B42DEC">
              <w:rPr>
                <w:rFonts w:ascii="Times New Roman" w:eastAsia="Malgun Gothic" w:hAnsi="Times New Roman" w:cs="Times New Roman"/>
                <w:i/>
                <w:szCs w:val="18"/>
                <w:lang w:val="en-GB" w:eastAsia="ko-KR"/>
              </w:rPr>
              <w:t>j</w:t>
            </w:r>
            <w:r w:rsidRPr="00B42DEC">
              <w:rPr>
                <w:rFonts w:ascii="Times New Roman" w:eastAsia="Malgun Gothic" w:hAnsi="Times New Roman" w:cs="Times New Roman"/>
                <w:szCs w:val="18"/>
                <w:lang w:val="en-GB" w:eastAsia="ko-KR"/>
              </w:rPr>
              <w:t xml:space="preserve"> which meets </w:t>
            </w:r>
            <w:r w:rsidR="009A4C70" w:rsidRPr="00763D39">
              <w:rPr>
                <w:rFonts w:ascii="Times New Roman" w:eastAsia="Times New Roman" w:hAnsi="Times New Roman" w:cs="Times New Roman"/>
                <w:noProof/>
                <w:position w:val="-14"/>
                <w:szCs w:val="18"/>
                <w:lang w:val="en-GB" w:eastAsia="en-GB"/>
              </w:rPr>
              <w:drawing>
                <wp:inline distT="0" distB="0" distL="0" distR="0" wp14:anchorId="387F18A8" wp14:editId="3BAE0C91">
                  <wp:extent cx="1800860" cy="251460"/>
                  <wp:effectExtent l="0" t="0" r="2540" b="2540"/>
                  <wp:docPr id="1130"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Rot="1" noChangeAspect="1" noEditPoints="1" noChangeArrowheads="1" noChangeShapeType="1" noCrop="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00860" cy="251460"/>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where </w:t>
            </w:r>
            <w:r w:rsidRPr="00B42DEC">
              <w:rPr>
                <w:rFonts w:ascii="Times New Roman" w:eastAsia="Malgun Gothic" w:hAnsi="Times New Roman" w:cs="Times New Roman"/>
                <w:i/>
                <w:szCs w:val="18"/>
                <w:lang w:val="en-GB" w:eastAsia="ko-KR"/>
              </w:rPr>
              <w:t>j=</w:t>
            </w:r>
            <w:r w:rsidRPr="00B42DEC">
              <w:rPr>
                <w:rFonts w:ascii="Times New Roman" w:eastAsia="Malgun Gothic" w:hAnsi="Times New Roman" w:cs="Times New Roman"/>
                <w:szCs w:val="18"/>
                <w:lang w:val="en-GB" w:eastAsia="ko-KR"/>
              </w:rPr>
              <w:t xml:space="preserve">0, 1, …, </w:t>
            </w:r>
            <w:r w:rsidR="009A4C70" w:rsidRPr="00763D39">
              <w:rPr>
                <w:rFonts w:ascii="Times New Roman" w:eastAsia="Times New Roman" w:hAnsi="Times New Roman" w:cs="Times New Roman"/>
                <w:noProof/>
                <w:position w:val="-12"/>
                <w:szCs w:val="18"/>
                <w:lang w:val="en-GB" w:eastAsia="en-GB"/>
              </w:rPr>
              <w:drawing>
                <wp:inline distT="0" distB="0" distL="0" distR="0" wp14:anchorId="4636162E" wp14:editId="541F9873">
                  <wp:extent cx="544195" cy="244475"/>
                  <wp:effectExtent l="0" t="0" r="1905" b="0"/>
                  <wp:docPr id="1129"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pic:cNvPicPr>
                            <a:picLocks noRot="1" noChangeAspect="1" noEditPoints="1" noChangeArrowheads="1" noChangeShapeType="1" noCrop="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44195"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w:t>
            </w:r>
            <w:r w:rsidR="009A4C70" w:rsidRPr="00763D39">
              <w:rPr>
                <w:rFonts w:ascii="Times New Roman" w:eastAsia="Times New Roman" w:hAnsi="Times New Roman" w:cs="Times New Roman"/>
                <w:noProof/>
                <w:position w:val="-14"/>
                <w:szCs w:val="18"/>
                <w:lang w:val="en-GB" w:eastAsia="en-GB"/>
              </w:rPr>
              <w:drawing>
                <wp:inline distT="0" distB="0" distL="0" distR="0" wp14:anchorId="0458279D" wp14:editId="0B01E269">
                  <wp:extent cx="1765935" cy="251460"/>
                  <wp:effectExtent l="0" t="0" r="0" b="2540"/>
                  <wp:docPr id="1128"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pic:cNvPicPr>
                            <a:picLocks noRot="1" noChangeAspect="1" noEditPoints="1" noChangeArrowheads="1" noChangeShapeType="1" noCrop="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765935" cy="251460"/>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w:t>
            </w:r>
            <w:r w:rsidRPr="00B42DEC">
              <w:rPr>
                <w:rFonts w:ascii="Times New Roman" w:eastAsia="Malgun Gothic" w:hAnsi="Times New Roman" w:cs="Times New Roman"/>
                <w:i/>
                <w:szCs w:val="18"/>
                <w:lang w:val="en-GB" w:eastAsia="ko-KR"/>
              </w:rPr>
              <w:t>k</w:t>
            </w:r>
            <w:r w:rsidRPr="00B42DEC">
              <w:rPr>
                <w:rFonts w:ascii="Times New Roman" w:eastAsia="Malgun Gothic" w:hAnsi="Times New Roman" w:cs="Times New Roman"/>
                <w:szCs w:val="18"/>
                <w:lang w:val="en-GB" w:eastAsia="ko-KR"/>
              </w:rPr>
              <w:t xml:space="preserve"> is any value allowed by the higher layer parameter </w:t>
            </w:r>
            <w:proofErr w:type="spellStart"/>
            <w:r w:rsidRPr="00B42DEC">
              <w:rPr>
                <w:rFonts w:ascii="Times New Roman" w:eastAsia="Malgun Gothic" w:hAnsi="Times New Roman" w:cs="Times New Roman"/>
                <w:i/>
                <w:szCs w:val="18"/>
                <w:lang w:val="en-GB" w:eastAsia="ko-KR"/>
              </w:rPr>
              <w:t>restrictResourceReservationPeriod</w:t>
            </w:r>
            <w:proofErr w:type="spellEnd"/>
            <w:r w:rsidRPr="00B42DEC">
              <w:rPr>
                <w:rFonts w:ascii="Times New Roman" w:eastAsia="Malgun Gothic" w:hAnsi="Times New Roman" w:cs="Times New Roman"/>
                <w:i/>
                <w:szCs w:val="18"/>
                <w:lang w:val="en-GB" w:eastAsia="ko-KR"/>
              </w:rPr>
              <w:t xml:space="preserve"> </w:t>
            </w:r>
            <w:r w:rsidRPr="00B42DEC">
              <w:rPr>
                <w:rFonts w:ascii="Times New Roman" w:eastAsia="SimSun" w:hAnsi="Times New Roman" w:cs="Times New Roman"/>
                <w:szCs w:val="18"/>
                <w:lang w:val="en-GB" w:eastAsia="zh-CN"/>
              </w:rPr>
              <w:t xml:space="preserve">and </w:t>
            </w:r>
            <w:r w:rsidRPr="00B42DEC">
              <w:rPr>
                <w:rFonts w:ascii="Times New Roman" w:eastAsia="SimSun" w:hAnsi="Times New Roman" w:cs="Times New Roman"/>
                <w:i/>
                <w:szCs w:val="18"/>
                <w:lang w:val="en-GB" w:eastAsia="zh-CN"/>
              </w:rPr>
              <w:t>q</w:t>
            </w:r>
            <w:r w:rsidRPr="00B42DEC">
              <w:rPr>
                <w:rFonts w:ascii="Times New Roman" w:eastAsia="SimSun" w:hAnsi="Times New Roman" w:cs="Times New Roman"/>
                <w:szCs w:val="18"/>
                <w:lang w:val="en-GB" w:eastAsia="zh-CN"/>
              </w:rPr>
              <w:t>=</w:t>
            </w:r>
            <w:proofErr w:type="gramStart"/>
            <w:r w:rsidRPr="00B42DEC">
              <w:rPr>
                <w:rFonts w:ascii="Times New Roman" w:eastAsia="SimSun" w:hAnsi="Times New Roman" w:cs="Times New Roman"/>
                <w:szCs w:val="18"/>
                <w:lang w:val="en-GB" w:eastAsia="zh-CN"/>
              </w:rPr>
              <w:t>1,2,…</w:t>
            </w:r>
            <w:proofErr w:type="gramEnd"/>
            <w:r w:rsidRPr="00B42DEC">
              <w:rPr>
                <w:rFonts w:ascii="Times New Roman" w:eastAsia="SimSun" w:hAnsi="Times New Roman" w:cs="Times New Roman"/>
                <w:szCs w:val="18"/>
                <w:lang w:val="en-GB" w:eastAsia="zh-CN"/>
              </w:rPr>
              <w:t>,</w:t>
            </w:r>
            <w:r w:rsidRPr="00B42DEC">
              <w:rPr>
                <w:rFonts w:ascii="Times New Roman" w:eastAsia="SimSun" w:hAnsi="Times New Roman" w:cs="Times New Roman"/>
                <w:i/>
                <w:szCs w:val="18"/>
                <w:lang w:val="en-GB" w:eastAsia="zh-CN"/>
              </w:rPr>
              <w:t>Q</w:t>
            </w:r>
            <w:r w:rsidRPr="00B42DEC">
              <w:rPr>
                <w:rFonts w:ascii="Times New Roman" w:eastAsia="SimSun" w:hAnsi="Times New Roman" w:cs="Times New Roman"/>
                <w:szCs w:val="18"/>
                <w:lang w:val="en-GB" w:eastAsia="zh-CN"/>
              </w:rPr>
              <w:t xml:space="preserve">. Here, </w:t>
            </w:r>
            <w:r w:rsidR="009A4C70" w:rsidRPr="00763D39">
              <w:rPr>
                <w:rFonts w:ascii="Times New Roman" w:eastAsia="SimSun" w:hAnsi="Times New Roman" w:cs="Times New Roman"/>
                <w:noProof/>
                <w:position w:val="-22"/>
                <w:szCs w:val="18"/>
                <w:lang w:val="en-GB" w:eastAsia="en-GB"/>
              </w:rPr>
              <w:drawing>
                <wp:inline distT="0" distB="0" distL="0" distR="0" wp14:anchorId="3149B0E1" wp14:editId="25FCAC51">
                  <wp:extent cx="391160" cy="356235"/>
                  <wp:effectExtent l="0" t="0" r="0" b="0"/>
                  <wp:docPr id="1127"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Rot="1" noChangeAspect="1" noEditPoints="1" noChangeArrowheads="1" noChangeShapeType="1" noCrop="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91160" cy="356235"/>
                          </a:xfrm>
                          <a:prstGeom prst="rect">
                            <a:avLst/>
                          </a:prstGeom>
                          <a:noFill/>
                          <a:ln>
                            <a:noFill/>
                          </a:ln>
                        </pic:spPr>
                      </pic:pic>
                    </a:graphicData>
                  </a:graphic>
                </wp:inline>
              </w:drawing>
            </w:r>
            <w:r w:rsidRPr="00B42DEC">
              <w:rPr>
                <w:rFonts w:ascii="Times New Roman" w:eastAsia="Times New Roman" w:hAnsi="Times New Roman" w:cs="Times New Roman"/>
                <w:szCs w:val="18"/>
                <w:lang w:val="en-GB" w:eastAsia="zh-CN"/>
              </w:rPr>
              <w:t xml:space="preserve"> if </w:t>
            </w:r>
            <w:r w:rsidR="009A4C70" w:rsidRPr="00763D39">
              <w:rPr>
                <w:rFonts w:ascii="Times New Roman" w:eastAsia="SimSun" w:hAnsi="Times New Roman" w:cs="Times New Roman"/>
                <w:noProof/>
                <w:position w:val="-6"/>
                <w:szCs w:val="18"/>
                <w:lang w:val="en-GB" w:eastAsia="en-GB"/>
              </w:rPr>
              <w:drawing>
                <wp:inline distT="0" distB="0" distL="0" distR="0" wp14:anchorId="7C80AD83" wp14:editId="7DBE8832">
                  <wp:extent cx="307340" cy="167640"/>
                  <wp:effectExtent l="0" t="0" r="0" b="0"/>
                  <wp:docPr id="1126"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Rot="1" noChangeAspect="1" noEditPoints="1" noChangeArrowheads="1" noChangeShapeType="1" noCrop="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07340" cy="167640"/>
                          </a:xfrm>
                          <a:prstGeom prst="rect">
                            <a:avLst/>
                          </a:prstGeom>
                          <a:noFill/>
                          <a:ln>
                            <a:noFill/>
                          </a:ln>
                        </pic:spPr>
                      </pic:pic>
                    </a:graphicData>
                  </a:graphic>
                </wp:inline>
              </w:drawing>
            </w:r>
            <w:r w:rsidRPr="00B42DEC">
              <w:rPr>
                <w:rFonts w:ascii="Times New Roman" w:eastAsia="Times New Roman" w:hAnsi="Times New Roman" w:cs="Times New Roman"/>
                <w:szCs w:val="18"/>
                <w:lang w:val="en-GB" w:eastAsia="zh-CN"/>
              </w:rPr>
              <w:t xml:space="preserve"> and </w:t>
            </w:r>
            <w:r w:rsidR="009A4C70" w:rsidRPr="00763D39">
              <w:rPr>
                <w:rFonts w:ascii="Times New Roman" w:eastAsia="SimSun" w:hAnsi="Times New Roman" w:cs="Times New Roman"/>
                <w:noProof/>
                <w:position w:val="-14"/>
                <w:szCs w:val="18"/>
                <w:lang w:val="en-GB" w:eastAsia="en-GB"/>
              </w:rPr>
              <w:drawing>
                <wp:inline distT="0" distB="0" distL="0" distR="0" wp14:anchorId="3DEEDB25" wp14:editId="7B22D2CF">
                  <wp:extent cx="914400" cy="251460"/>
                  <wp:effectExtent l="0" t="0" r="0" b="2540"/>
                  <wp:docPr id="1125"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Rot="1" noChangeAspect="1" noEditPoints="1" noChangeArrowheads="1" noChangeShapeType="1" noCrop="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914400" cy="251460"/>
                          </a:xfrm>
                          <a:prstGeom prst="rect">
                            <a:avLst/>
                          </a:prstGeom>
                          <a:noFill/>
                          <a:ln>
                            <a:noFill/>
                          </a:ln>
                        </pic:spPr>
                      </pic:pic>
                    </a:graphicData>
                  </a:graphic>
                </wp:inline>
              </w:drawing>
            </w:r>
            <w:r w:rsidRPr="00B42DEC">
              <w:rPr>
                <w:rFonts w:ascii="Times New Roman" w:eastAsia="SimSun" w:hAnsi="Times New Roman" w:cs="Times New Roman"/>
                <w:szCs w:val="18"/>
                <w:lang w:val="en-GB" w:eastAsia="zh-CN"/>
              </w:rPr>
              <w:t xml:space="preserve">, where </w:t>
            </w:r>
            <w:r w:rsidR="009A4C70" w:rsidRPr="00763D39">
              <w:rPr>
                <w:rFonts w:ascii="Times New Roman" w:eastAsia="SimSun" w:hAnsi="Times New Roman" w:cs="Times New Roman"/>
                <w:noProof/>
                <w:position w:val="-14"/>
                <w:szCs w:val="18"/>
                <w:lang w:val="en-GB" w:eastAsia="en-GB"/>
              </w:rPr>
              <w:drawing>
                <wp:inline distT="0" distB="0" distL="0" distR="0" wp14:anchorId="7681A83E" wp14:editId="49C072DD">
                  <wp:extent cx="419100" cy="251460"/>
                  <wp:effectExtent l="0" t="0" r="0" b="2540"/>
                  <wp:docPr id="1124"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Rot="1" noChangeAspect="1" noEditPoints="1" noChangeArrowheads="1" noChangeShapeType="1" noCrop="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19100" cy="251460"/>
                          </a:xfrm>
                          <a:prstGeom prst="rect">
                            <a:avLst/>
                          </a:prstGeom>
                          <a:noFill/>
                          <a:ln>
                            <a:noFill/>
                          </a:ln>
                        </pic:spPr>
                      </pic:pic>
                    </a:graphicData>
                  </a:graphic>
                </wp:inline>
              </w:drawing>
            </w:r>
            <w:r w:rsidRPr="00B42DEC">
              <w:rPr>
                <w:rFonts w:ascii="Times New Roman" w:eastAsia="SimSun" w:hAnsi="Times New Roman" w:cs="Times New Roman"/>
                <w:szCs w:val="18"/>
                <w:lang w:val="en-GB" w:eastAsia="zh-CN"/>
              </w:rPr>
              <w:t xml:space="preserve"> if subframe </w:t>
            </w:r>
            <w:r w:rsidRPr="00B42DEC">
              <w:rPr>
                <w:rFonts w:ascii="Times New Roman" w:eastAsia="SimSun" w:hAnsi="Times New Roman" w:cs="Times New Roman"/>
                <w:i/>
                <w:szCs w:val="18"/>
                <w:lang w:val="en-GB" w:eastAsia="zh-CN"/>
              </w:rPr>
              <w:t>n</w:t>
            </w:r>
            <w:r w:rsidRPr="00B42DEC">
              <w:rPr>
                <w:rFonts w:ascii="Times New Roman" w:eastAsia="SimSun" w:hAnsi="Times New Roman" w:cs="Times New Roman"/>
                <w:szCs w:val="18"/>
                <w:lang w:val="en-GB" w:eastAsia="zh-CN"/>
              </w:rPr>
              <w:t xml:space="preserve"> belongs to the set </w:t>
            </w:r>
            <w:r w:rsidR="009A4C70" w:rsidRPr="00763D39">
              <w:rPr>
                <w:rFonts w:ascii="Times New Roman" w:eastAsia="SimSun" w:hAnsi="Times New Roman" w:cs="Times New Roman"/>
                <w:noProof/>
                <w:position w:val="-14"/>
                <w:szCs w:val="18"/>
                <w:lang w:val="en-GB" w:eastAsia="en-GB"/>
              </w:rPr>
              <w:drawing>
                <wp:inline distT="0" distB="0" distL="0" distR="0" wp14:anchorId="5046522C" wp14:editId="04E4EE02">
                  <wp:extent cx="809625" cy="251460"/>
                  <wp:effectExtent l="0" t="0" r="0" b="2540"/>
                  <wp:docPr id="1123"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pic:cNvPicPr>
                            <a:picLocks noRot="1" noChangeAspect="1" noEditPoints="1" noChangeArrowheads="1" noChangeShapeType="1" noCrop="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809625" cy="251460"/>
                          </a:xfrm>
                          <a:prstGeom prst="rect">
                            <a:avLst/>
                          </a:prstGeom>
                          <a:noFill/>
                          <a:ln>
                            <a:noFill/>
                          </a:ln>
                        </pic:spPr>
                      </pic:pic>
                    </a:graphicData>
                  </a:graphic>
                </wp:inline>
              </w:drawing>
            </w:r>
            <w:r w:rsidRPr="00B42DEC">
              <w:rPr>
                <w:rFonts w:ascii="Times New Roman" w:eastAsia="SimSun" w:hAnsi="Times New Roman" w:cs="Times New Roman"/>
                <w:szCs w:val="18"/>
                <w:lang w:val="en-GB" w:eastAsia="zh-CN"/>
              </w:rPr>
              <w:t xml:space="preserve">, otherwise subframe </w:t>
            </w:r>
            <w:r w:rsidR="009A4C70" w:rsidRPr="00763D39">
              <w:rPr>
                <w:rFonts w:ascii="Times New Roman" w:eastAsia="SimSun" w:hAnsi="Times New Roman" w:cs="Times New Roman"/>
                <w:noProof/>
                <w:position w:val="-14"/>
                <w:szCs w:val="18"/>
                <w:lang w:val="en-GB" w:eastAsia="en-GB"/>
              </w:rPr>
              <w:drawing>
                <wp:inline distT="0" distB="0" distL="0" distR="0" wp14:anchorId="0F6F7A66" wp14:editId="76CDB600">
                  <wp:extent cx="202565" cy="251460"/>
                  <wp:effectExtent l="0" t="0" r="0" b="2540"/>
                  <wp:docPr id="1122"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Rot="1" noChangeAspect="1" noEditPoints="1" noChangeArrowheads="1" noChangeShapeType="1" noCrop="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02565" cy="251460"/>
                          </a:xfrm>
                          <a:prstGeom prst="rect">
                            <a:avLst/>
                          </a:prstGeom>
                          <a:noFill/>
                          <a:ln>
                            <a:noFill/>
                          </a:ln>
                        </pic:spPr>
                      </pic:pic>
                    </a:graphicData>
                  </a:graphic>
                </wp:inline>
              </w:drawing>
            </w:r>
            <w:r w:rsidRPr="00B42DEC">
              <w:rPr>
                <w:rFonts w:ascii="Times New Roman" w:eastAsia="SimSun" w:hAnsi="Times New Roman" w:cs="Times New Roman"/>
                <w:szCs w:val="18"/>
                <w:lang w:val="en-GB" w:eastAsia="zh-CN"/>
              </w:rPr>
              <w:t xml:space="preserve"> is the first subframe belonging to the set </w:t>
            </w:r>
            <w:r w:rsidR="009A4C70" w:rsidRPr="00763D39">
              <w:rPr>
                <w:rFonts w:ascii="Times New Roman" w:eastAsia="SimSun" w:hAnsi="Times New Roman" w:cs="Times New Roman"/>
                <w:noProof/>
                <w:position w:val="-14"/>
                <w:szCs w:val="18"/>
                <w:lang w:val="en-GB" w:eastAsia="en-GB"/>
              </w:rPr>
              <w:drawing>
                <wp:inline distT="0" distB="0" distL="0" distR="0" wp14:anchorId="62807879" wp14:editId="7F4D2111">
                  <wp:extent cx="809625" cy="251460"/>
                  <wp:effectExtent l="0" t="0" r="0" b="2540"/>
                  <wp:docPr id="1121"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Rot="1" noChangeAspect="1" noEditPoints="1" noChangeArrowheads="1" noChangeShapeType="1" noCrop="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809625" cy="251460"/>
                          </a:xfrm>
                          <a:prstGeom prst="rect">
                            <a:avLst/>
                          </a:prstGeom>
                          <a:noFill/>
                          <a:ln>
                            <a:noFill/>
                          </a:ln>
                        </pic:spPr>
                      </pic:pic>
                    </a:graphicData>
                  </a:graphic>
                </wp:inline>
              </w:drawing>
            </w:r>
            <w:r w:rsidRPr="00B42DEC">
              <w:rPr>
                <w:rFonts w:ascii="Times New Roman" w:eastAsia="SimSun" w:hAnsi="Times New Roman" w:cs="Times New Roman"/>
                <w:szCs w:val="18"/>
                <w:lang w:val="en-GB" w:eastAsia="zh-CN"/>
              </w:rPr>
              <w:t xml:space="preserve"> after subframe </w:t>
            </w:r>
            <w:r w:rsidRPr="00B42DEC">
              <w:rPr>
                <w:rFonts w:ascii="Times New Roman" w:eastAsia="SimSun" w:hAnsi="Times New Roman" w:cs="Times New Roman"/>
                <w:i/>
                <w:szCs w:val="18"/>
                <w:lang w:val="en-GB" w:eastAsia="zh-CN"/>
              </w:rPr>
              <w:t>n</w:t>
            </w:r>
            <w:r w:rsidRPr="00B42DEC">
              <w:rPr>
                <w:rFonts w:ascii="Times New Roman" w:eastAsia="SimSun" w:hAnsi="Times New Roman" w:cs="Times New Roman"/>
                <w:szCs w:val="18"/>
                <w:lang w:val="en-GB" w:eastAsia="zh-CN"/>
              </w:rPr>
              <w:t xml:space="preserve">; </w:t>
            </w:r>
            <w:r w:rsidRPr="00B42DEC">
              <w:rPr>
                <w:rFonts w:ascii="Times New Roman" w:eastAsia="Times New Roman" w:hAnsi="Times New Roman" w:cs="Times New Roman"/>
                <w:szCs w:val="18"/>
                <w:lang w:val="en-GB" w:eastAsia="zh-CN"/>
              </w:rPr>
              <w:t xml:space="preserve">and </w:t>
            </w:r>
            <w:r w:rsidR="009A4C70" w:rsidRPr="00763D39">
              <w:rPr>
                <w:rFonts w:ascii="Times New Roman" w:eastAsia="SimSun" w:hAnsi="Times New Roman" w:cs="Times New Roman"/>
                <w:noProof/>
                <w:position w:val="-10"/>
                <w:szCs w:val="18"/>
                <w:lang w:val="en-GB" w:eastAsia="en-GB"/>
              </w:rPr>
              <w:drawing>
                <wp:inline distT="0" distB="0" distL="0" distR="0" wp14:anchorId="79514B58" wp14:editId="4455EFB6">
                  <wp:extent cx="328295" cy="174625"/>
                  <wp:effectExtent l="0" t="0" r="1905" b="3175"/>
                  <wp:docPr id="1120"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Rot="1" noChangeAspect="1" noEditPoints="1" noChangeArrowheads="1" noChangeShapeType="1" noCrop="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28295" cy="174625"/>
                          </a:xfrm>
                          <a:prstGeom prst="rect">
                            <a:avLst/>
                          </a:prstGeom>
                          <a:noFill/>
                          <a:ln>
                            <a:noFill/>
                          </a:ln>
                        </pic:spPr>
                      </pic:pic>
                    </a:graphicData>
                  </a:graphic>
                </wp:inline>
              </w:drawing>
            </w:r>
            <w:r w:rsidRPr="00B42DEC">
              <w:rPr>
                <w:rFonts w:ascii="Times New Roman" w:eastAsia="Times New Roman" w:hAnsi="Times New Roman" w:cs="Times New Roman"/>
                <w:szCs w:val="18"/>
                <w:lang w:val="en-GB" w:eastAsia="zh-CN"/>
              </w:rPr>
              <w:t xml:space="preserve"> otherwise</w:t>
            </w:r>
            <w:r w:rsidRPr="00B42DEC">
              <w:rPr>
                <w:rFonts w:ascii="Times New Roman" w:eastAsia="Malgun Gothic" w:hAnsi="Times New Roman" w:cs="Times New Roman"/>
                <w:szCs w:val="18"/>
                <w:lang w:val="en-GB" w:eastAsia="ko-KR"/>
              </w:rPr>
              <w:t>.</w:t>
            </w:r>
          </w:p>
          <w:p w14:paraId="2FC88F15" w14:textId="71057633" w:rsidR="00B7435D" w:rsidRPr="00763D39" w:rsidRDefault="00B7435D" w:rsidP="00A45730">
            <w:pPr>
              <w:numPr>
                <w:ilvl w:val="0"/>
                <w:numId w:val="21"/>
              </w:num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18"/>
                <w:szCs w:val="18"/>
                <w:lang w:val="en-GB" w:eastAsia="ko-KR"/>
              </w:rPr>
            </w:pPr>
            <w:r w:rsidRPr="00B42DEC">
              <w:rPr>
                <w:rFonts w:ascii="Times New Roman" w:eastAsia="Malgun Gothic" w:hAnsi="Times New Roman" w:cs="Times New Roman"/>
                <w:szCs w:val="18"/>
                <w:lang w:val="en-GB" w:eastAsia="ko-KR"/>
              </w:rPr>
              <w:t>6)</w:t>
            </w:r>
            <w:r w:rsidRPr="00B42DEC">
              <w:rPr>
                <w:rFonts w:ascii="Times New Roman" w:eastAsia="Malgun Gothic" w:hAnsi="Times New Roman" w:cs="Times New Roman"/>
                <w:szCs w:val="18"/>
                <w:lang w:val="en-GB" w:eastAsia="ko-KR"/>
              </w:rPr>
              <w:tab/>
              <w:t xml:space="preserve">The UE shall exclude any candidate single-subframe resource </w:t>
            </w:r>
            <w:r w:rsidR="009A4C70" w:rsidRPr="00763D39">
              <w:rPr>
                <w:rFonts w:ascii="Times New Roman" w:eastAsia="Times New Roman" w:hAnsi="Times New Roman" w:cs="Times New Roman"/>
                <w:noProof/>
                <w:position w:val="-14"/>
                <w:szCs w:val="18"/>
                <w:lang w:val="en-GB" w:eastAsia="en-GB"/>
              </w:rPr>
              <w:drawing>
                <wp:inline distT="0" distB="0" distL="0" distR="0" wp14:anchorId="3FB1F125" wp14:editId="6183FB87">
                  <wp:extent cx="279400" cy="244475"/>
                  <wp:effectExtent l="0" t="0" r="0" b="0"/>
                  <wp:docPr id="1119"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Rot="1" noChangeAspect="1" noEditPoints="1" noChangeArrowheads="1" noChangeShapeType="1" noCrop="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9400"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from the set </w:t>
            </w:r>
            <w:r w:rsidR="009A4C70" w:rsidRPr="00763D39">
              <w:rPr>
                <w:rFonts w:ascii="Times New Roman" w:eastAsia="Times New Roman" w:hAnsi="Times New Roman" w:cs="Times New Roman"/>
                <w:noProof/>
                <w:position w:val="-10"/>
                <w:szCs w:val="18"/>
                <w:lang w:val="en-GB" w:eastAsia="en-GB"/>
              </w:rPr>
              <w:drawing>
                <wp:inline distT="0" distB="0" distL="0" distR="0" wp14:anchorId="62B2E4DA" wp14:editId="717CB9C5">
                  <wp:extent cx="188595" cy="216535"/>
                  <wp:effectExtent l="0" t="0" r="1905" b="0"/>
                  <wp:docPr id="1118"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Rot="1" noChangeAspect="1" noEditPoints="1" noChangeArrowheads="1" noChangeShapeType="1" noCrop="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8595" cy="21653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if it meets all the following conditions:</w:t>
            </w:r>
          </w:p>
          <w:p w14:paraId="3C25EBCD" w14:textId="79947756" w:rsidR="00B7435D" w:rsidRPr="00763D39" w:rsidRDefault="00B7435D" w:rsidP="00B7435D">
            <w:pPr>
              <w:overflowPunct w:val="0"/>
              <w:autoSpaceDE w:val="0"/>
              <w:autoSpaceDN w:val="0"/>
              <w:adjustRightInd w:val="0"/>
              <w:spacing w:after="180" w:line="240" w:lineRule="auto"/>
              <w:ind w:left="851" w:hanging="284"/>
              <w:textAlignment w:val="baseline"/>
              <w:rPr>
                <w:rFonts w:ascii="Times New Roman" w:eastAsia="Malgun Gothic" w:hAnsi="Times New Roman" w:cs="Times New Roman"/>
                <w:sz w:val="18"/>
                <w:szCs w:val="18"/>
                <w:lang w:val="en-GB" w:eastAsia="ko-KR"/>
              </w:rPr>
            </w:pPr>
            <w:r w:rsidRPr="00B42DEC">
              <w:rPr>
                <w:rFonts w:ascii="Times New Roman" w:eastAsia="Malgun Gothic" w:hAnsi="Times New Roman" w:cs="Times New Roman"/>
                <w:szCs w:val="18"/>
                <w:lang w:val="en-GB" w:eastAsia="ko-KR"/>
              </w:rPr>
              <w:t>-</w:t>
            </w:r>
            <w:r w:rsidRPr="00B42DEC">
              <w:rPr>
                <w:rFonts w:ascii="Times New Roman" w:eastAsia="Malgun Gothic" w:hAnsi="Times New Roman" w:cs="Times New Roman"/>
                <w:szCs w:val="18"/>
                <w:lang w:val="en-GB" w:eastAsia="ko-KR"/>
              </w:rPr>
              <w:tab/>
              <w:t xml:space="preserve">the UE receives an SCI format 1 in subframe </w:t>
            </w:r>
            <w:r w:rsidR="009A4C70" w:rsidRPr="00763D39">
              <w:rPr>
                <w:rFonts w:ascii="Times New Roman" w:eastAsia="Times New Roman" w:hAnsi="Times New Roman" w:cs="Times New Roman"/>
                <w:noProof/>
                <w:position w:val="-12"/>
                <w:szCs w:val="18"/>
                <w:lang w:val="en-GB" w:eastAsia="en-GB"/>
              </w:rPr>
              <w:drawing>
                <wp:inline distT="0" distB="0" distL="0" distR="0" wp14:anchorId="41329815" wp14:editId="198D92F9">
                  <wp:extent cx="202565" cy="244475"/>
                  <wp:effectExtent l="0" t="0" r="0" b="0"/>
                  <wp:docPr id="1117"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Rot="1" noChangeAspect="1" noEditPoints="1" noChangeArrowheads="1" noChangeShapeType="1" noCrop="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02565"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and "Resource reservation" field and "Priority" field in the received SCI format 1 indicate the values </w:t>
            </w:r>
            <w:r w:rsidR="009A4C70" w:rsidRPr="00763D39">
              <w:rPr>
                <w:rFonts w:ascii="Times New Roman" w:eastAsia="Times New Roman" w:hAnsi="Times New Roman" w:cs="Times New Roman"/>
                <w:noProof/>
                <w:position w:val="-14"/>
                <w:szCs w:val="18"/>
                <w:lang w:val="en-GB" w:eastAsia="en-GB"/>
              </w:rPr>
              <w:drawing>
                <wp:inline distT="0" distB="0" distL="0" distR="0" wp14:anchorId="56302339" wp14:editId="086BDD21">
                  <wp:extent cx="460375" cy="244475"/>
                  <wp:effectExtent l="0" t="0" r="0" b="0"/>
                  <wp:docPr id="1116"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pic:cNvPicPr>
                            <a:picLocks noRot="1" noChangeAspect="1" noEditPoints="1" noChangeArrowheads="1" noChangeShapeType="1" noCrop="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60375"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and </w:t>
            </w:r>
            <w:r w:rsidR="009A4C70" w:rsidRPr="00763D39">
              <w:rPr>
                <w:rFonts w:ascii="Times New Roman" w:eastAsia="Times New Roman" w:hAnsi="Times New Roman" w:cs="Times New Roman"/>
                <w:noProof/>
                <w:position w:val="-10"/>
                <w:szCs w:val="18"/>
                <w:lang w:val="en-GB" w:eastAsia="en-GB"/>
              </w:rPr>
              <w:drawing>
                <wp:inline distT="0" distB="0" distL="0" distR="0" wp14:anchorId="1F478B72" wp14:editId="54BBFB0F">
                  <wp:extent cx="460375" cy="216535"/>
                  <wp:effectExtent l="0" t="0" r="0" b="0"/>
                  <wp:docPr id="1115"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Rot="1" noChangeAspect="1" noEditPoints="1" noChangeArrowheads="1" noChangeShapeType="1" noCrop="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60375" cy="21653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respectively according to Subclause 14.2.1.</w:t>
            </w:r>
          </w:p>
          <w:p w14:paraId="15D3E2C7" w14:textId="4FB32556" w:rsidR="00B7435D" w:rsidRPr="00763D39" w:rsidRDefault="00B7435D" w:rsidP="00B7435D">
            <w:pPr>
              <w:overflowPunct w:val="0"/>
              <w:autoSpaceDE w:val="0"/>
              <w:autoSpaceDN w:val="0"/>
              <w:adjustRightInd w:val="0"/>
              <w:spacing w:after="180" w:line="240" w:lineRule="auto"/>
              <w:ind w:left="851" w:hanging="284"/>
              <w:textAlignment w:val="baseline"/>
              <w:rPr>
                <w:rFonts w:ascii="Times New Roman" w:eastAsia="Malgun Gothic" w:hAnsi="Times New Roman" w:cs="Times New Roman"/>
                <w:sz w:val="18"/>
                <w:szCs w:val="18"/>
                <w:lang w:val="en-GB" w:eastAsia="ko-KR"/>
              </w:rPr>
            </w:pPr>
            <w:r w:rsidRPr="00B42DEC">
              <w:rPr>
                <w:rFonts w:ascii="Times New Roman" w:eastAsia="Malgun Gothic" w:hAnsi="Times New Roman" w:cs="Times New Roman"/>
                <w:szCs w:val="18"/>
                <w:lang w:val="en-GB" w:eastAsia="ko-KR"/>
              </w:rPr>
              <w:t>-</w:t>
            </w:r>
            <w:r w:rsidRPr="00B42DEC">
              <w:rPr>
                <w:rFonts w:ascii="Times New Roman" w:eastAsia="Malgun Gothic" w:hAnsi="Times New Roman" w:cs="Times New Roman"/>
                <w:szCs w:val="18"/>
                <w:lang w:val="en-GB" w:eastAsia="ko-KR"/>
              </w:rPr>
              <w:tab/>
              <w:t xml:space="preserve">PSSCH-RSRP measurement according to the received SCI format 1 is higher than </w:t>
            </w:r>
            <w:r w:rsidR="009A4C70" w:rsidRPr="00763D39">
              <w:rPr>
                <w:rFonts w:ascii="Times New Roman" w:eastAsia="Times New Roman" w:hAnsi="Times New Roman" w:cs="Times New Roman"/>
                <w:noProof/>
                <w:position w:val="-14"/>
                <w:szCs w:val="18"/>
                <w:lang w:val="en-GB" w:eastAsia="en-GB"/>
              </w:rPr>
              <w:drawing>
                <wp:inline distT="0" distB="0" distL="0" distR="0" wp14:anchorId="46110712" wp14:editId="116B1C64">
                  <wp:extent cx="746760" cy="244475"/>
                  <wp:effectExtent l="0" t="0" r="2540" b="0"/>
                  <wp:docPr id="1114"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Rot="1" noChangeAspect="1" noEditPoints="1" noChangeArrowheads="1" noChangeShapeType="1" noCrop="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746760"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w:t>
            </w:r>
          </w:p>
          <w:p w14:paraId="7CAFB4D2" w14:textId="26AC4144" w:rsidR="00B7435D" w:rsidRPr="00763D39" w:rsidRDefault="00B7435D" w:rsidP="00B7435D">
            <w:pPr>
              <w:overflowPunct w:val="0"/>
              <w:autoSpaceDE w:val="0"/>
              <w:autoSpaceDN w:val="0"/>
              <w:adjustRightInd w:val="0"/>
              <w:spacing w:after="180" w:line="240" w:lineRule="auto"/>
              <w:ind w:left="851" w:hanging="284"/>
              <w:textAlignment w:val="baseline"/>
              <w:rPr>
                <w:rFonts w:ascii="Times New Roman" w:eastAsia="Malgun Gothic" w:hAnsi="Times New Roman" w:cs="Times New Roman"/>
                <w:sz w:val="18"/>
                <w:szCs w:val="18"/>
                <w:lang w:val="en-GB" w:eastAsia="ko-KR"/>
              </w:rPr>
            </w:pPr>
            <w:r w:rsidRPr="00B42DEC">
              <w:rPr>
                <w:rFonts w:ascii="Times New Roman" w:eastAsia="Malgun Gothic" w:hAnsi="Times New Roman" w:cs="Times New Roman"/>
                <w:szCs w:val="18"/>
                <w:lang w:val="en-GB" w:eastAsia="ko-KR"/>
              </w:rPr>
              <w:t>-</w:t>
            </w:r>
            <w:r w:rsidRPr="00B42DEC">
              <w:rPr>
                <w:rFonts w:ascii="Times New Roman" w:eastAsia="Malgun Gothic" w:hAnsi="Times New Roman" w:cs="Times New Roman"/>
                <w:szCs w:val="18"/>
                <w:lang w:val="en-GB" w:eastAsia="ko-KR"/>
              </w:rPr>
              <w:tab/>
              <w:t xml:space="preserve">the SCI format received in subframe </w:t>
            </w:r>
            <w:r w:rsidR="009A4C70" w:rsidRPr="00763D39">
              <w:rPr>
                <w:rFonts w:ascii="Times New Roman" w:eastAsia="Times New Roman" w:hAnsi="Times New Roman" w:cs="Times New Roman"/>
                <w:noProof/>
                <w:position w:val="-12"/>
                <w:szCs w:val="18"/>
                <w:lang w:val="en-GB" w:eastAsia="en-GB"/>
              </w:rPr>
              <w:drawing>
                <wp:inline distT="0" distB="0" distL="0" distR="0" wp14:anchorId="7C5B879C" wp14:editId="1570317C">
                  <wp:extent cx="202565" cy="244475"/>
                  <wp:effectExtent l="0" t="0" r="0" b="0"/>
                  <wp:docPr id="1113"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Rot="1" noChangeAspect="1" noEditPoints="1" noChangeArrowheads="1" noChangeShapeType="1" noCrop="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02565"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or the same SCI format 1 which is assumed to be received in subframe(s) </w:t>
            </w:r>
            <w:r w:rsidR="009A4C70" w:rsidRPr="00763D39">
              <w:rPr>
                <w:rFonts w:ascii="Times New Roman" w:eastAsia="Times New Roman" w:hAnsi="Times New Roman" w:cs="Times New Roman"/>
                <w:noProof/>
                <w:position w:val="-16"/>
                <w:szCs w:val="18"/>
                <w:lang w:val="en-GB" w:eastAsia="en-GB"/>
              </w:rPr>
              <w:drawing>
                <wp:inline distT="0" distB="0" distL="0" distR="0" wp14:anchorId="6F73EAE4" wp14:editId="4FF046AA">
                  <wp:extent cx="851535" cy="279400"/>
                  <wp:effectExtent l="0" t="0" r="0" b="0"/>
                  <wp:docPr id="1112"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Rot="1" noChangeAspect="1" noEditPoints="1" noChangeArrowheads="1" noChangeShapeType="1" noCrop="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851535" cy="279400"/>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determines according to 14.1.1.4C the set of resource blocks and subframes which overlaps with </w:t>
            </w:r>
            <w:r w:rsidR="009A4C70" w:rsidRPr="00763D39">
              <w:rPr>
                <w:rFonts w:ascii="Times New Roman" w:eastAsia="Times New Roman" w:hAnsi="Times New Roman" w:cs="Times New Roman"/>
                <w:noProof/>
                <w:position w:val="-18"/>
                <w:szCs w:val="18"/>
                <w:lang w:val="en-GB" w:eastAsia="en-GB"/>
              </w:rPr>
              <w:drawing>
                <wp:inline distT="0" distB="0" distL="0" distR="0" wp14:anchorId="7478E529" wp14:editId="30BEF0DB">
                  <wp:extent cx="739775" cy="251460"/>
                  <wp:effectExtent l="0" t="0" r="0" b="2540"/>
                  <wp:docPr id="1111"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Rot="1" noChangeAspect="1" noEditPoints="1" noChangeArrowheads="1" noChangeShapeType="1" noCrop="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739775" cy="251460"/>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for </w:t>
            </w:r>
            <w:r w:rsidRPr="00B42DEC">
              <w:rPr>
                <w:rFonts w:ascii="Times New Roman" w:eastAsia="Malgun Gothic" w:hAnsi="Times New Roman" w:cs="Times New Roman"/>
                <w:i/>
                <w:szCs w:val="18"/>
                <w:lang w:val="en-GB" w:eastAsia="ko-KR"/>
              </w:rPr>
              <w:t>q</w:t>
            </w:r>
            <w:r w:rsidRPr="00B42DEC">
              <w:rPr>
                <w:rFonts w:ascii="Times New Roman" w:eastAsia="Malgun Gothic" w:hAnsi="Times New Roman" w:cs="Times New Roman"/>
                <w:szCs w:val="18"/>
                <w:lang w:val="en-GB" w:eastAsia="ko-KR"/>
              </w:rPr>
              <w:t xml:space="preserve">=1, 2, …, </w:t>
            </w:r>
            <w:r w:rsidRPr="00B42DEC">
              <w:rPr>
                <w:rFonts w:ascii="Times New Roman" w:eastAsia="Malgun Gothic" w:hAnsi="Times New Roman" w:cs="Times New Roman"/>
                <w:i/>
                <w:szCs w:val="18"/>
                <w:lang w:val="en-GB" w:eastAsia="ko-KR"/>
              </w:rPr>
              <w:t>Q</w:t>
            </w:r>
            <w:r w:rsidRPr="00B42DEC">
              <w:rPr>
                <w:rFonts w:ascii="Times New Roman" w:eastAsia="Malgun Gothic" w:hAnsi="Times New Roman" w:cs="Times New Roman"/>
                <w:szCs w:val="18"/>
                <w:lang w:val="en-GB" w:eastAsia="ko-KR"/>
              </w:rPr>
              <w:t xml:space="preserve"> and </w:t>
            </w:r>
            <w:r w:rsidRPr="00B42DEC">
              <w:rPr>
                <w:rFonts w:ascii="Times New Roman" w:eastAsia="Malgun Gothic" w:hAnsi="Times New Roman" w:cs="Times New Roman"/>
                <w:i/>
                <w:szCs w:val="18"/>
                <w:lang w:val="en-GB" w:eastAsia="ko-KR"/>
              </w:rPr>
              <w:t>j=</w:t>
            </w:r>
            <w:r w:rsidRPr="00B42DEC">
              <w:rPr>
                <w:rFonts w:ascii="Times New Roman" w:eastAsia="Malgun Gothic" w:hAnsi="Times New Roman" w:cs="Times New Roman"/>
                <w:szCs w:val="18"/>
                <w:lang w:val="en-GB" w:eastAsia="ko-KR"/>
              </w:rPr>
              <w:t xml:space="preserve">0, 1, …, </w:t>
            </w:r>
            <w:r w:rsidR="009A4C70" w:rsidRPr="00763D39">
              <w:rPr>
                <w:rFonts w:ascii="Times New Roman" w:eastAsia="Times New Roman" w:hAnsi="Times New Roman" w:cs="Times New Roman"/>
                <w:noProof/>
                <w:position w:val="-12"/>
                <w:szCs w:val="18"/>
                <w:lang w:val="en-GB" w:eastAsia="en-GB"/>
              </w:rPr>
              <w:drawing>
                <wp:inline distT="0" distB="0" distL="0" distR="0" wp14:anchorId="3F94B4C5" wp14:editId="537AF2F3">
                  <wp:extent cx="544195" cy="244475"/>
                  <wp:effectExtent l="0" t="0" r="1905" b="0"/>
                  <wp:docPr id="1110"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Rot="1" noChangeAspect="1" noEditPoints="1" noChangeArrowheads="1" noChangeShapeType="1" noCrop="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44195"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Here, </w:t>
            </w:r>
            <w:r w:rsidR="009A4C70" w:rsidRPr="00763D39">
              <w:rPr>
                <w:rFonts w:ascii="Times New Roman" w:eastAsia="Times New Roman" w:hAnsi="Times New Roman" w:cs="Times New Roman"/>
                <w:noProof/>
                <w:position w:val="-32"/>
                <w:szCs w:val="18"/>
                <w:lang w:val="en-GB" w:eastAsia="en-GB"/>
              </w:rPr>
              <w:drawing>
                <wp:inline distT="0" distB="0" distL="0" distR="0" wp14:anchorId="11CB384C" wp14:editId="2FF5BCC4">
                  <wp:extent cx="788670" cy="460375"/>
                  <wp:effectExtent l="0" t="0" r="0" b="0"/>
                  <wp:docPr id="1109"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Rot="1" noChangeAspect="1" noEditPoints="1" noChangeArrowheads="1" noChangeShapeType="1" noCrop="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788670" cy="4603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if </w:t>
            </w:r>
            <w:r w:rsidR="009A4C70" w:rsidRPr="00763D39">
              <w:rPr>
                <w:rFonts w:ascii="Times New Roman" w:eastAsia="Times New Roman" w:hAnsi="Times New Roman" w:cs="Times New Roman"/>
                <w:noProof/>
                <w:position w:val="-14"/>
                <w:szCs w:val="18"/>
                <w:lang w:val="en-GB" w:eastAsia="en-GB"/>
              </w:rPr>
              <w:drawing>
                <wp:inline distT="0" distB="0" distL="0" distR="0" wp14:anchorId="1104C9C0" wp14:editId="4ACD71F5">
                  <wp:extent cx="697865" cy="244475"/>
                  <wp:effectExtent l="0" t="0" r="635" b="0"/>
                  <wp:docPr id="1108"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Rot="1" noChangeAspect="1" noEditPoints="1" noChangeArrowheads="1" noChangeShapeType="1" noCrop="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697865"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and </w:t>
            </w:r>
            <w:r w:rsidR="009A4C70" w:rsidRPr="00763D39">
              <w:rPr>
                <w:rFonts w:ascii="Times New Roman" w:eastAsia="Times New Roman" w:hAnsi="Times New Roman" w:cs="Times New Roman"/>
                <w:noProof/>
                <w:position w:val="-14"/>
                <w:szCs w:val="18"/>
                <w:lang w:val="en-GB" w:eastAsia="en-GB"/>
              </w:rPr>
              <w:drawing>
                <wp:inline distT="0" distB="0" distL="0" distR="0" wp14:anchorId="1E8E76AF" wp14:editId="30E3DF2A">
                  <wp:extent cx="1333500" cy="244475"/>
                  <wp:effectExtent l="0" t="0" r="0" b="0"/>
                  <wp:docPr id="1107"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Rot="1" noChangeAspect="1" noEditPoints="1" noChangeArrowheads="1" noChangeShapeType="1" noCrop="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333500"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w:t>
            </w:r>
            <w:bookmarkStart w:id="27" w:name="OLE_LINK8"/>
            <w:bookmarkStart w:id="28" w:name="OLE_LINK9"/>
            <w:r w:rsidRPr="00B42DEC">
              <w:rPr>
                <w:rFonts w:ascii="Times New Roman" w:eastAsia="Times New Roman" w:hAnsi="Times New Roman" w:cs="Times New Roman"/>
                <w:szCs w:val="18"/>
                <w:lang w:val="en-GB" w:eastAsia="zh-CN"/>
              </w:rPr>
              <w:t xml:space="preserve">where </w:t>
            </w:r>
            <w:r w:rsidR="009A4C70" w:rsidRPr="00763D39">
              <w:rPr>
                <w:rFonts w:ascii="Times New Roman" w:eastAsia="Times New Roman" w:hAnsi="Times New Roman" w:cs="Times New Roman"/>
                <w:noProof/>
                <w:position w:val="-10"/>
                <w:szCs w:val="18"/>
                <w:lang w:val="en-GB" w:eastAsia="en-GB"/>
              </w:rPr>
              <w:drawing>
                <wp:inline distT="0" distB="0" distL="0" distR="0" wp14:anchorId="37F4E7C3" wp14:editId="39BFD95B">
                  <wp:extent cx="419100" cy="216535"/>
                  <wp:effectExtent l="0" t="0" r="0" b="0"/>
                  <wp:docPr id="1106"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Rot="1" noChangeAspect="1" noEditPoints="1" noChangeArrowheads="1" noChangeShapeType="1" noCrop="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19100" cy="216535"/>
                          </a:xfrm>
                          <a:prstGeom prst="rect">
                            <a:avLst/>
                          </a:prstGeom>
                          <a:noFill/>
                          <a:ln>
                            <a:noFill/>
                          </a:ln>
                        </pic:spPr>
                      </pic:pic>
                    </a:graphicData>
                  </a:graphic>
                </wp:inline>
              </w:drawing>
            </w:r>
            <w:r w:rsidRPr="00B42DEC">
              <w:rPr>
                <w:rFonts w:ascii="Times New Roman" w:eastAsia="Times New Roman" w:hAnsi="Times New Roman" w:cs="Times New Roman"/>
                <w:szCs w:val="18"/>
                <w:lang w:val="en-GB" w:eastAsia="zh-CN"/>
              </w:rPr>
              <w:t xml:space="preserve"> if subframe n belongs to the set </w:t>
            </w:r>
            <w:r w:rsidR="009A4C70" w:rsidRPr="00763D39">
              <w:rPr>
                <w:rFonts w:ascii="Times New Roman" w:eastAsia="Times New Roman" w:hAnsi="Times New Roman" w:cs="Times New Roman"/>
                <w:noProof/>
                <w:position w:val="-14"/>
                <w:szCs w:val="18"/>
                <w:lang w:val="en-GB" w:eastAsia="en-GB"/>
              </w:rPr>
              <w:drawing>
                <wp:inline distT="0" distB="0" distL="0" distR="0" wp14:anchorId="7ABC6A82" wp14:editId="3B11B7C9">
                  <wp:extent cx="956310" cy="251460"/>
                  <wp:effectExtent l="0" t="0" r="0" b="2540"/>
                  <wp:docPr id="1105"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pic:cNvPicPr>
                            <a:picLocks noRot="1" noChangeAspect="1" noEditPoints="1" noChangeArrowheads="1" noChangeShapeType="1" noCrop="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6310" cy="251460"/>
                          </a:xfrm>
                          <a:prstGeom prst="rect">
                            <a:avLst/>
                          </a:prstGeom>
                          <a:noFill/>
                          <a:ln>
                            <a:noFill/>
                          </a:ln>
                        </pic:spPr>
                      </pic:pic>
                    </a:graphicData>
                  </a:graphic>
                </wp:inline>
              </w:drawing>
            </w:r>
            <w:r w:rsidRPr="00B42DEC">
              <w:rPr>
                <w:rFonts w:ascii="Times New Roman" w:eastAsia="Times New Roman" w:hAnsi="Times New Roman" w:cs="Times New Roman"/>
                <w:szCs w:val="18"/>
                <w:lang w:val="en-GB" w:eastAsia="zh-CN"/>
              </w:rPr>
              <w:t xml:space="preserve">, otherwise subframe </w:t>
            </w:r>
            <w:r w:rsidR="009A4C70" w:rsidRPr="00763D39">
              <w:rPr>
                <w:rFonts w:ascii="Times New Roman" w:eastAsia="Times New Roman" w:hAnsi="Times New Roman" w:cs="Times New Roman"/>
                <w:noProof/>
                <w:position w:val="-12"/>
                <w:szCs w:val="18"/>
                <w:lang w:val="en-GB" w:eastAsia="en-GB"/>
              </w:rPr>
              <w:drawing>
                <wp:inline distT="0" distB="0" distL="0" distR="0" wp14:anchorId="27FB47D8" wp14:editId="46704D26">
                  <wp:extent cx="202565" cy="244475"/>
                  <wp:effectExtent l="0" t="0" r="0" b="0"/>
                  <wp:docPr id="1104"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pic:cNvPicPr>
                            <a:picLocks noRot="1" noChangeAspect="1" noEditPoints="1" noChangeArrowheads="1" noChangeShapeType="1" noCrop="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02565" cy="244475"/>
                          </a:xfrm>
                          <a:prstGeom prst="rect">
                            <a:avLst/>
                          </a:prstGeom>
                          <a:noFill/>
                          <a:ln>
                            <a:noFill/>
                          </a:ln>
                        </pic:spPr>
                      </pic:pic>
                    </a:graphicData>
                  </a:graphic>
                </wp:inline>
              </w:drawing>
            </w:r>
            <w:r w:rsidRPr="00B42DEC">
              <w:rPr>
                <w:rFonts w:ascii="Times New Roman" w:eastAsia="Times New Roman" w:hAnsi="Times New Roman" w:cs="Times New Roman"/>
                <w:szCs w:val="18"/>
                <w:lang w:val="en-GB" w:eastAsia="zh-CN"/>
              </w:rPr>
              <w:t xml:space="preserve">is the first subframe after subframe n belonging to the set </w:t>
            </w:r>
            <w:bookmarkEnd w:id="27"/>
            <w:bookmarkEnd w:id="28"/>
            <w:r w:rsidR="009A4C70" w:rsidRPr="00763D39">
              <w:rPr>
                <w:rFonts w:ascii="Times New Roman" w:eastAsia="Times New Roman" w:hAnsi="Times New Roman" w:cs="Times New Roman"/>
                <w:noProof/>
                <w:position w:val="-14"/>
                <w:szCs w:val="18"/>
                <w:lang w:val="en-GB" w:eastAsia="en-GB"/>
              </w:rPr>
              <w:drawing>
                <wp:inline distT="0" distB="0" distL="0" distR="0" wp14:anchorId="227242D4" wp14:editId="00DBEDCE">
                  <wp:extent cx="956310" cy="251460"/>
                  <wp:effectExtent l="0" t="0" r="0" b="2540"/>
                  <wp:docPr id="1103"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pic:cNvPicPr>
                            <a:picLocks noRot="1" noChangeAspect="1" noEditPoints="1" noChangeArrowheads="1" noChangeShapeType="1" noCrop="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6310" cy="251460"/>
                          </a:xfrm>
                          <a:prstGeom prst="rect">
                            <a:avLst/>
                          </a:prstGeom>
                          <a:noFill/>
                          <a:ln>
                            <a:noFill/>
                          </a:ln>
                        </pic:spPr>
                      </pic:pic>
                    </a:graphicData>
                  </a:graphic>
                </wp:inline>
              </w:drawing>
            </w:r>
            <w:r w:rsidRPr="00B42DEC">
              <w:rPr>
                <w:rFonts w:ascii="Times New Roman" w:eastAsia="Times New Roman" w:hAnsi="Times New Roman" w:cs="Times New Roman"/>
                <w:szCs w:val="18"/>
                <w:lang w:val="en-GB" w:eastAsia="zh-CN"/>
              </w:rPr>
              <w:t>;</w:t>
            </w:r>
            <w:r w:rsidRPr="00B42DEC">
              <w:rPr>
                <w:rFonts w:ascii="Times New Roman" w:eastAsia="Malgun Gothic" w:hAnsi="Times New Roman" w:cs="Times New Roman"/>
                <w:szCs w:val="18"/>
                <w:lang w:val="en-GB" w:eastAsia="ko-KR"/>
              </w:rPr>
              <w:t xml:space="preserve"> otherwise</w:t>
            </w:r>
            <w:r w:rsidRPr="00B42DEC">
              <w:rPr>
                <w:rFonts w:ascii="Times New Roman" w:eastAsia="Times New Roman" w:hAnsi="Times New Roman" w:cs="Times New Roman"/>
                <w:szCs w:val="18"/>
                <w:lang w:val="en-GB" w:eastAsia="en-GB"/>
              </w:rPr>
              <w:t xml:space="preserve"> </w:t>
            </w:r>
            <w:r w:rsidR="009A4C70" w:rsidRPr="00763D39">
              <w:rPr>
                <w:rFonts w:ascii="Times New Roman" w:eastAsia="Times New Roman" w:hAnsi="Times New Roman" w:cs="Times New Roman"/>
                <w:noProof/>
                <w:position w:val="-10"/>
                <w:szCs w:val="18"/>
                <w:lang w:val="en-GB" w:eastAsia="en-GB"/>
              </w:rPr>
              <w:drawing>
                <wp:inline distT="0" distB="0" distL="0" distR="0" wp14:anchorId="7D743548" wp14:editId="30E1CA80">
                  <wp:extent cx="370205" cy="202565"/>
                  <wp:effectExtent l="0" t="0" r="0" b="635"/>
                  <wp:docPr id="1102"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pic:cNvPicPr>
                            <a:picLocks noRot="1" noChangeAspect="1" noEditPoints="1" noChangeArrowheads="1" noChangeShapeType="1" noCrop="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70205" cy="202565"/>
                          </a:xfrm>
                          <a:prstGeom prst="rect">
                            <a:avLst/>
                          </a:prstGeom>
                          <a:noFill/>
                          <a:ln>
                            <a:noFill/>
                          </a:ln>
                        </pic:spPr>
                      </pic:pic>
                    </a:graphicData>
                  </a:graphic>
                </wp:inline>
              </w:drawing>
            </w:r>
            <w:r w:rsidRPr="00B42DEC">
              <w:rPr>
                <w:rFonts w:ascii="Times New Roman" w:eastAsia="Times New Roman" w:hAnsi="Times New Roman" w:cs="Times New Roman"/>
                <w:szCs w:val="18"/>
                <w:lang w:val="en-GB" w:eastAsia="en-GB"/>
              </w:rPr>
              <w:t>.</w:t>
            </w:r>
          </w:p>
          <w:p w14:paraId="7BB8D5E5" w14:textId="39508C32" w:rsidR="00B7435D" w:rsidRPr="00763D39" w:rsidRDefault="00B7435D" w:rsidP="00A45730">
            <w:pPr>
              <w:numPr>
                <w:ilvl w:val="0"/>
                <w:numId w:val="21"/>
              </w:num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18"/>
                <w:szCs w:val="18"/>
                <w:lang w:val="en-GB" w:eastAsia="ko-KR"/>
              </w:rPr>
            </w:pPr>
            <w:r w:rsidRPr="00B42DEC">
              <w:rPr>
                <w:rFonts w:ascii="Times New Roman" w:eastAsia="Malgun Gothic" w:hAnsi="Times New Roman" w:cs="Times New Roman"/>
                <w:szCs w:val="18"/>
                <w:lang w:val="en-GB" w:eastAsia="ko-KR"/>
              </w:rPr>
              <w:t>7)</w:t>
            </w:r>
            <w:r w:rsidRPr="00B42DEC">
              <w:rPr>
                <w:rFonts w:ascii="Times New Roman" w:eastAsia="Malgun Gothic" w:hAnsi="Times New Roman" w:cs="Times New Roman"/>
                <w:szCs w:val="18"/>
                <w:lang w:val="en-GB" w:eastAsia="ko-KR"/>
              </w:rPr>
              <w:tab/>
              <w:t xml:space="preserve">If the number of candidate single-subframe resources remaining in the set </w:t>
            </w:r>
            <w:r w:rsidR="009A4C70" w:rsidRPr="00763D39">
              <w:rPr>
                <w:rFonts w:ascii="Times New Roman" w:eastAsia="Times New Roman" w:hAnsi="Times New Roman" w:cs="Times New Roman"/>
                <w:noProof/>
                <w:position w:val="-10"/>
                <w:szCs w:val="18"/>
                <w:lang w:val="en-GB" w:eastAsia="en-GB"/>
              </w:rPr>
              <w:drawing>
                <wp:inline distT="0" distB="0" distL="0" distR="0" wp14:anchorId="5ACA4151" wp14:editId="0A58ED6C">
                  <wp:extent cx="188595" cy="216535"/>
                  <wp:effectExtent l="0" t="0" r="1905" b="0"/>
                  <wp:docPr id="1101"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Rot="1" noChangeAspect="1" noEditPoints="1" noChangeArrowheads="1" noChangeShapeType="1" noCrop="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88595" cy="21653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is smaller than </w:t>
            </w:r>
            <w:r w:rsidR="009A4C70" w:rsidRPr="00763D39">
              <w:rPr>
                <w:rFonts w:ascii="Times New Roman" w:eastAsia="Times New Roman" w:hAnsi="Times New Roman" w:cs="Times New Roman"/>
                <w:noProof/>
                <w:position w:val="-12"/>
                <w:szCs w:val="18"/>
                <w:lang w:val="en-GB" w:eastAsia="en-GB"/>
              </w:rPr>
              <w:drawing>
                <wp:inline distT="0" distB="0" distL="0" distR="0" wp14:anchorId="5F84E441" wp14:editId="3938AEB7">
                  <wp:extent cx="635000" cy="244475"/>
                  <wp:effectExtent l="0" t="0" r="0" b="0"/>
                  <wp:docPr id="1100"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pic:cNvPicPr>
                            <a:picLocks noRot="1" noChangeAspect="1" noEditPoints="1" noChangeArrowheads="1" noChangeShapeType="1" noCrop="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635000"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then Step 4 is repeated with </w:t>
            </w:r>
            <w:r w:rsidR="009A4C70" w:rsidRPr="00763D39">
              <w:rPr>
                <w:rFonts w:ascii="Times New Roman" w:eastAsia="Times New Roman" w:hAnsi="Times New Roman" w:cs="Times New Roman"/>
                <w:noProof/>
                <w:position w:val="-14"/>
                <w:szCs w:val="18"/>
                <w:lang w:val="en-GB" w:eastAsia="en-GB"/>
              </w:rPr>
              <w:drawing>
                <wp:inline distT="0" distB="0" distL="0" distR="0" wp14:anchorId="07EA14A9" wp14:editId="7B421813">
                  <wp:extent cx="314325" cy="244475"/>
                  <wp:effectExtent l="0" t="0" r="3175" b="0"/>
                  <wp:docPr id="1099"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pic:cNvPicPr>
                            <a:picLocks noRot="1" noChangeAspect="1" noEditPoints="1" noChangeArrowheads="1" noChangeShapeType="1" noCrop="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14325"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increased by 3 </w:t>
            </w:r>
            <w:proofErr w:type="spellStart"/>
            <w:r w:rsidRPr="00B42DEC">
              <w:rPr>
                <w:rFonts w:ascii="Times New Roman" w:eastAsia="Malgun Gothic" w:hAnsi="Times New Roman" w:cs="Times New Roman"/>
                <w:szCs w:val="18"/>
                <w:lang w:val="en-GB" w:eastAsia="ko-KR"/>
              </w:rPr>
              <w:t>dB.</w:t>
            </w:r>
            <w:proofErr w:type="spellEnd"/>
          </w:p>
          <w:p w14:paraId="7CF2AAE6" w14:textId="621F205F" w:rsidR="00B7435D" w:rsidRPr="00763D39" w:rsidRDefault="00B7435D" w:rsidP="00A45730">
            <w:pPr>
              <w:numPr>
                <w:ilvl w:val="0"/>
                <w:numId w:val="21"/>
              </w:num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18"/>
                <w:szCs w:val="18"/>
                <w:lang w:val="en-GB" w:eastAsia="ko-KR"/>
              </w:rPr>
            </w:pPr>
            <w:r w:rsidRPr="00B42DEC">
              <w:rPr>
                <w:rFonts w:ascii="Times New Roman" w:eastAsia="Malgun Gothic" w:hAnsi="Times New Roman" w:cs="Times New Roman"/>
                <w:szCs w:val="18"/>
                <w:highlight w:val="yellow"/>
                <w:lang w:val="en-GB" w:eastAsia="ko-KR"/>
              </w:rPr>
              <w:t>8)</w:t>
            </w:r>
            <w:r w:rsidRPr="00B42DEC">
              <w:rPr>
                <w:rFonts w:ascii="Times New Roman" w:eastAsia="Malgun Gothic" w:hAnsi="Times New Roman" w:cs="Times New Roman"/>
                <w:szCs w:val="18"/>
                <w:highlight w:val="yellow"/>
                <w:lang w:val="en-GB" w:eastAsia="ko-KR"/>
              </w:rPr>
              <w:tab/>
              <w:t xml:space="preserve">For a candidate single-subframe resource </w:t>
            </w:r>
            <w:r w:rsidR="009A4C70" w:rsidRPr="00763D39">
              <w:rPr>
                <w:rFonts w:ascii="Times New Roman" w:eastAsia="Times New Roman" w:hAnsi="Times New Roman" w:cs="Times New Roman"/>
                <w:noProof/>
                <w:position w:val="-14"/>
                <w:szCs w:val="18"/>
                <w:highlight w:val="yellow"/>
                <w:lang w:val="en-GB" w:eastAsia="en-GB"/>
              </w:rPr>
              <w:drawing>
                <wp:inline distT="0" distB="0" distL="0" distR="0" wp14:anchorId="0FB4BB16" wp14:editId="12F0674B">
                  <wp:extent cx="279400" cy="244475"/>
                  <wp:effectExtent l="0" t="0" r="0" b="0"/>
                  <wp:docPr id="1098"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pic:cNvPicPr>
                            <a:picLocks noRot="1" noChangeAspect="1" noEditPoints="1" noChangeArrowheads="1" noChangeShapeType="1" noCrop="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9400" cy="244475"/>
                          </a:xfrm>
                          <a:prstGeom prst="rect">
                            <a:avLst/>
                          </a:prstGeom>
                          <a:noFill/>
                          <a:ln>
                            <a:noFill/>
                          </a:ln>
                        </pic:spPr>
                      </pic:pic>
                    </a:graphicData>
                  </a:graphic>
                </wp:inline>
              </w:drawing>
            </w:r>
            <w:r w:rsidRPr="00B42DEC">
              <w:rPr>
                <w:rFonts w:ascii="Times New Roman" w:eastAsia="Malgun Gothic" w:hAnsi="Times New Roman" w:cs="Times New Roman"/>
                <w:szCs w:val="18"/>
                <w:highlight w:val="yellow"/>
                <w:lang w:val="en-GB" w:eastAsia="ko-KR"/>
              </w:rPr>
              <w:t xml:space="preserve"> remaining in the set</w:t>
            </w:r>
            <w:r w:rsidR="009A4C70" w:rsidRPr="00763D39">
              <w:rPr>
                <w:rFonts w:ascii="Times New Roman" w:eastAsia="Times New Roman" w:hAnsi="Times New Roman" w:cs="Times New Roman"/>
                <w:noProof/>
                <w:position w:val="-10"/>
                <w:szCs w:val="18"/>
                <w:highlight w:val="yellow"/>
                <w:lang w:val="en-GB" w:eastAsia="en-GB"/>
              </w:rPr>
              <w:drawing>
                <wp:inline distT="0" distB="0" distL="0" distR="0" wp14:anchorId="37DDADA4" wp14:editId="1A137515">
                  <wp:extent cx="188595" cy="216535"/>
                  <wp:effectExtent l="0" t="0" r="1905" b="0"/>
                  <wp:docPr id="1097"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pic:cNvPicPr>
                            <a:picLocks noRot="1" noChangeAspect="1" noEditPoints="1" noChangeArrowheads="1" noChangeShapeType="1" noCrop="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88595" cy="216535"/>
                          </a:xfrm>
                          <a:prstGeom prst="rect">
                            <a:avLst/>
                          </a:prstGeom>
                          <a:noFill/>
                          <a:ln>
                            <a:noFill/>
                          </a:ln>
                        </pic:spPr>
                      </pic:pic>
                    </a:graphicData>
                  </a:graphic>
                </wp:inline>
              </w:drawing>
            </w:r>
            <w:r w:rsidRPr="00B42DEC">
              <w:rPr>
                <w:rFonts w:ascii="Times New Roman" w:eastAsia="Malgun Gothic" w:hAnsi="Times New Roman" w:cs="Times New Roman"/>
                <w:szCs w:val="18"/>
                <w:highlight w:val="yellow"/>
                <w:lang w:val="en-GB" w:eastAsia="ko-KR"/>
              </w:rPr>
              <w:t xml:space="preserve">, the metric </w:t>
            </w:r>
            <w:r w:rsidR="009A4C70" w:rsidRPr="00763D39">
              <w:rPr>
                <w:rFonts w:ascii="Times New Roman" w:eastAsia="Times New Roman" w:hAnsi="Times New Roman" w:cs="Times New Roman"/>
                <w:noProof/>
                <w:position w:val="-14"/>
                <w:szCs w:val="18"/>
                <w:highlight w:val="yellow"/>
                <w:lang w:val="en-GB" w:eastAsia="en-GB"/>
              </w:rPr>
              <w:drawing>
                <wp:inline distT="0" distB="0" distL="0" distR="0" wp14:anchorId="7270BB70" wp14:editId="6F316241">
                  <wp:extent cx="279400" cy="244475"/>
                  <wp:effectExtent l="0" t="0" r="0" b="0"/>
                  <wp:docPr id="1096"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pic:cNvPicPr>
                            <a:picLocks noRot="1" noChangeAspect="1" noEditPoints="1" noChangeArrowheads="1" noChangeShapeType="1" noCrop="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79400" cy="244475"/>
                          </a:xfrm>
                          <a:prstGeom prst="rect">
                            <a:avLst/>
                          </a:prstGeom>
                          <a:noFill/>
                          <a:ln>
                            <a:noFill/>
                          </a:ln>
                        </pic:spPr>
                      </pic:pic>
                    </a:graphicData>
                  </a:graphic>
                </wp:inline>
              </w:drawing>
            </w:r>
            <w:r w:rsidRPr="00B42DEC">
              <w:rPr>
                <w:rFonts w:ascii="Times New Roman" w:eastAsia="Malgun Gothic" w:hAnsi="Times New Roman" w:cs="Times New Roman"/>
                <w:szCs w:val="18"/>
                <w:highlight w:val="yellow"/>
                <w:lang w:val="en-GB" w:eastAsia="ko-KR"/>
              </w:rPr>
              <w:t xml:space="preserve"> is defined as the linear average of S-RSSI measured in sub-channels </w:t>
            </w:r>
            <w:proofErr w:type="spellStart"/>
            <w:r w:rsidRPr="00B42DEC">
              <w:rPr>
                <w:rFonts w:ascii="Times New Roman" w:eastAsia="Malgun Gothic" w:hAnsi="Times New Roman" w:cs="Times New Roman"/>
                <w:i/>
                <w:szCs w:val="18"/>
                <w:highlight w:val="yellow"/>
                <w:lang w:val="en-GB" w:eastAsia="ko-KR"/>
              </w:rPr>
              <w:t>x+k</w:t>
            </w:r>
            <w:proofErr w:type="spellEnd"/>
            <w:r w:rsidRPr="00B42DEC">
              <w:rPr>
                <w:rFonts w:ascii="Times New Roman" w:eastAsia="Malgun Gothic" w:hAnsi="Times New Roman" w:cs="Times New Roman"/>
                <w:szCs w:val="18"/>
                <w:highlight w:val="yellow"/>
                <w:lang w:val="en-GB" w:eastAsia="ko-KR"/>
              </w:rPr>
              <w:t xml:space="preserve"> for </w:t>
            </w:r>
            <w:r w:rsidR="009A4C70" w:rsidRPr="00763D39">
              <w:rPr>
                <w:rFonts w:ascii="Times New Roman" w:eastAsia="Times New Roman" w:hAnsi="Times New Roman" w:cs="Times New Roman"/>
                <w:noProof/>
                <w:position w:val="-12"/>
                <w:szCs w:val="18"/>
                <w:highlight w:val="yellow"/>
                <w:lang w:val="en-GB" w:eastAsia="en-GB"/>
              </w:rPr>
              <w:drawing>
                <wp:inline distT="0" distB="0" distL="0" distR="0" wp14:anchorId="06311500" wp14:editId="5B247557">
                  <wp:extent cx="1102995" cy="244475"/>
                  <wp:effectExtent l="0" t="0" r="1905" b="0"/>
                  <wp:docPr id="1095"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Rot="1" noChangeAspect="1" noEditPoints="1" noChangeArrowheads="1" noChangeShapeType="1" noCrop="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102995" cy="244475"/>
                          </a:xfrm>
                          <a:prstGeom prst="rect">
                            <a:avLst/>
                          </a:prstGeom>
                          <a:noFill/>
                          <a:ln>
                            <a:noFill/>
                          </a:ln>
                        </pic:spPr>
                      </pic:pic>
                    </a:graphicData>
                  </a:graphic>
                </wp:inline>
              </w:drawing>
            </w:r>
            <w:r w:rsidRPr="00B42DEC">
              <w:rPr>
                <w:rFonts w:ascii="Times New Roman" w:eastAsia="Malgun Gothic" w:hAnsi="Times New Roman" w:cs="Times New Roman"/>
                <w:szCs w:val="18"/>
                <w:highlight w:val="yellow"/>
                <w:lang w:val="en-GB" w:eastAsia="ko-KR"/>
              </w:rPr>
              <w:t xml:space="preserve"> in the monitored subframes in Step 2 that can be expressed by </w:t>
            </w:r>
            <w:r w:rsidR="009A4C70" w:rsidRPr="00763D39">
              <w:rPr>
                <w:rFonts w:ascii="Times New Roman" w:eastAsia="Times New Roman" w:hAnsi="Times New Roman" w:cs="Times New Roman"/>
                <w:noProof/>
                <w:position w:val="-16"/>
                <w:szCs w:val="18"/>
                <w:highlight w:val="yellow"/>
                <w:lang w:val="en-GB" w:eastAsia="en-GB"/>
              </w:rPr>
              <w:drawing>
                <wp:inline distT="0" distB="0" distL="0" distR="0" wp14:anchorId="1E8FC331" wp14:editId="5A6C3B2D">
                  <wp:extent cx="460375" cy="279400"/>
                  <wp:effectExtent l="0" t="0" r="0" b="0"/>
                  <wp:docPr id="1094"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pic:cNvPicPr>
                            <a:picLocks noRot="1" noChangeAspect="1" noEditPoints="1" noChangeArrowheads="1" noChangeShapeType="1" noCrop="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60375" cy="279400"/>
                          </a:xfrm>
                          <a:prstGeom prst="rect">
                            <a:avLst/>
                          </a:prstGeom>
                          <a:noFill/>
                          <a:ln>
                            <a:noFill/>
                          </a:ln>
                        </pic:spPr>
                      </pic:pic>
                    </a:graphicData>
                  </a:graphic>
                </wp:inline>
              </w:drawing>
            </w:r>
            <w:r w:rsidRPr="00B42DEC">
              <w:rPr>
                <w:rFonts w:ascii="Times New Roman" w:eastAsia="Malgun Gothic" w:hAnsi="Times New Roman" w:cs="Times New Roman"/>
                <w:szCs w:val="18"/>
                <w:highlight w:val="yellow"/>
                <w:lang w:val="en-GB" w:eastAsia="ko-KR"/>
              </w:rPr>
              <w:t xml:space="preserve"> for a non-negative integer </w:t>
            </w:r>
            <w:r w:rsidRPr="00B42DEC">
              <w:rPr>
                <w:rFonts w:ascii="Times New Roman" w:eastAsia="Malgun Gothic" w:hAnsi="Times New Roman" w:cs="Times New Roman"/>
                <w:i/>
                <w:szCs w:val="18"/>
                <w:highlight w:val="yellow"/>
                <w:lang w:val="en-GB" w:eastAsia="ko-KR"/>
              </w:rPr>
              <w:t>j</w:t>
            </w:r>
            <w:r w:rsidRPr="00B42DEC">
              <w:rPr>
                <w:rFonts w:ascii="Times New Roman" w:eastAsia="Malgun Gothic" w:hAnsi="Times New Roman" w:cs="Times New Roman"/>
                <w:szCs w:val="18"/>
                <w:highlight w:val="yellow"/>
                <w:lang w:val="en-GB" w:eastAsia="ko-KR"/>
              </w:rPr>
              <w:t xml:space="preserve"> if </w:t>
            </w:r>
            <w:r w:rsidR="009A4C70" w:rsidRPr="00763D39">
              <w:rPr>
                <w:rFonts w:ascii="Times New Roman" w:eastAsia="Times New Roman" w:hAnsi="Times New Roman" w:cs="Times New Roman"/>
                <w:noProof/>
                <w:position w:val="-14"/>
                <w:szCs w:val="18"/>
                <w:highlight w:val="yellow"/>
                <w:lang w:val="en-GB" w:eastAsia="en-GB"/>
              </w:rPr>
              <w:drawing>
                <wp:inline distT="0" distB="0" distL="0" distR="0" wp14:anchorId="035D0FD9" wp14:editId="512E9CBF">
                  <wp:extent cx="865505" cy="244475"/>
                  <wp:effectExtent l="0" t="0" r="0" b="0"/>
                  <wp:docPr id="1093"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pic:cNvPicPr>
                            <a:picLocks noRot="1" noChangeAspect="1" noEditPoints="1" noChangeArrowheads="1" noChangeShapeType="1" noCrop="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865505"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and </w:t>
            </w:r>
            <w:r w:rsidR="009A4C70" w:rsidRPr="00763D39">
              <w:rPr>
                <w:rFonts w:ascii="Times New Roman" w:eastAsia="Times New Roman" w:hAnsi="Times New Roman" w:cs="Times New Roman"/>
                <w:noProof/>
                <w:position w:val="-20"/>
                <w:szCs w:val="18"/>
                <w:lang w:val="en-GB" w:eastAsia="en-GB"/>
              </w:rPr>
              <w:drawing>
                <wp:inline distT="0" distB="0" distL="0" distR="0" wp14:anchorId="49DF7A47" wp14:editId="12B5261A">
                  <wp:extent cx="607060" cy="307340"/>
                  <wp:effectExtent l="0" t="0" r="2540" b="0"/>
                  <wp:docPr id="1092"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pic:cNvPicPr>
                            <a:picLocks noRot="1" noChangeAspect="1" noEditPoints="1" noChangeArrowheads="1" noChangeShapeType="1" noCrop="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07060" cy="307340"/>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for a non-negative integer </w:t>
            </w:r>
            <w:r w:rsidRPr="00B42DEC">
              <w:rPr>
                <w:rFonts w:ascii="Times New Roman" w:eastAsia="Malgun Gothic" w:hAnsi="Times New Roman" w:cs="Times New Roman"/>
                <w:i/>
                <w:szCs w:val="18"/>
                <w:lang w:val="en-GB" w:eastAsia="ko-KR"/>
              </w:rPr>
              <w:t xml:space="preserve">j </w:t>
            </w:r>
            <w:r w:rsidRPr="00B42DEC">
              <w:rPr>
                <w:rFonts w:ascii="Times New Roman" w:eastAsia="Malgun Gothic" w:hAnsi="Times New Roman" w:cs="Times New Roman"/>
                <w:szCs w:val="18"/>
                <w:lang w:val="en-GB" w:eastAsia="ko-KR"/>
              </w:rPr>
              <w:t>otherwise</w:t>
            </w:r>
            <w:r w:rsidRPr="00B42DEC">
              <w:rPr>
                <w:rFonts w:ascii="Times New Roman" w:eastAsia="Malgun Gothic" w:hAnsi="Times New Roman" w:cs="Times New Roman"/>
                <w:i/>
                <w:szCs w:val="18"/>
                <w:lang w:val="en-GB" w:eastAsia="ko-KR"/>
              </w:rPr>
              <w:t xml:space="preserve">. </w:t>
            </w:r>
          </w:p>
          <w:p w14:paraId="04932B60" w14:textId="5F29BDEB" w:rsidR="00B7435D" w:rsidRPr="00763D39" w:rsidRDefault="00B7435D" w:rsidP="00A45730">
            <w:pPr>
              <w:numPr>
                <w:ilvl w:val="0"/>
                <w:numId w:val="21"/>
              </w:num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18"/>
                <w:szCs w:val="18"/>
                <w:highlight w:val="yellow"/>
                <w:lang w:val="en-GB" w:eastAsia="en-GB"/>
              </w:rPr>
            </w:pPr>
            <w:r w:rsidRPr="00B42DEC">
              <w:rPr>
                <w:rFonts w:ascii="Times New Roman" w:eastAsia="Malgun Gothic" w:hAnsi="Times New Roman" w:cs="Times New Roman"/>
                <w:szCs w:val="18"/>
                <w:highlight w:val="yellow"/>
                <w:lang w:val="en-GB" w:eastAsia="ko-KR"/>
              </w:rPr>
              <w:t>9)</w:t>
            </w:r>
            <w:r w:rsidRPr="00B42DEC">
              <w:rPr>
                <w:rFonts w:ascii="Times New Roman" w:eastAsia="Malgun Gothic" w:hAnsi="Times New Roman" w:cs="Times New Roman"/>
                <w:szCs w:val="18"/>
                <w:highlight w:val="yellow"/>
                <w:lang w:val="en-GB" w:eastAsia="ko-KR"/>
              </w:rPr>
              <w:tab/>
              <w:t xml:space="preserve">The UE moves the candidate single-subframe resource </w:t>
            </w:r>
            <w:r w:rsidR="009A4C70" w:rsidRPr="00763D39">
              <w:rPr>
                <w:rFonts w:ascii="Times New Roman" w:eastAsia="Times New Roman" w:hAnsi="Times New Roman" w:cs="Times New Roman"/>
                <w:noProof/>
                <w:position w:val="-14"/>
                <w:szCs w:val="18"/>
                <w:highlight w:val="yellow"/>
                <w:lang w:val="en-GB" w:eastAsia="en-GB"/>
              </w:rPr>
              <w:drawing>
                <wp:inline distT="0" distB="0" distL="0" distR="0" wp14:anchorId="4F990E57" wp14:editId="170486BC">
                  <wp:extent cx="279400" cy="244475"/>
                  <wp:effectExtent l="0" t="0" r="0" b="0"/>
                  <wp:docPr id="1091"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pic:cNvPicPr>
                            <a:picLocks noRot="1" noChangeAspect="1" noEditPoints="1" noChangeArrowheads="1" noChangeShapeType="1" noCrop="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9400" cy="244475"/>
                          </a:xfrm>
                          <a:prstGeom prst="rect">
                            <a:avLst/>
                          </a:prstGeom>
                          <a:noFill/>
                          <a:ln>
                            <a:noFill/>
                          </a:ln>
                        </pic:spPr>
                      </pic:pic>
                    </a:graphicData>
                  </a:graphic>
                </wp:inline>
              </w:drawing>
            </w:r>
            <w:r w:rsidRPr="00B42DEC">
              <w:rPr>
                <w:rFonts w:ascii="Times New Roman" w:eastAsia="Malgun Gothic" w:hAnsi="Times New Roman" w:cs="Times New Roman"/>
                <w:szCs w:val="18"/>
                <w:highlight w:val="yellow"/>
                <w:lang w:val="en-GB" w:eastAsia="ko-KR"/>
              </w:rPr>
              <w:t xml:space="preserve"> with the smallest metric </w:t>
            </w:r>
            <w:r w:rsidR="009A4C70" w:rsidRPr="00763D39">
              <w:rPr>
                <w:rFonts w:ascii="Times New Roman" w:eastAsia="Times New Roman" w:hAnsi="Times New Roman" w:cs="Times New Roman"/>
                <w:noProof/>
                <w:position w:val="-14"/>
                <w:szCs w:val="18"/>
                <w:highlight w:val="yellow"/>
                <w:lang w:val="en-GB" w:eastAsia="en-GB"/>
              </w:rPr>
              <w:drawing>
                <wp:inline distT="0" distB="0" distL="0" distR="0" wp14:anchorId="03EF38A9" wp14:editId="3AAAAD7F">
                  <wp:extent cx="279400" cy="244475"/>
                  <wp:effectExtent l="0" t="0" r="0" b="0"/>
                  <wp:docPr id="1090"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Rot="1" noChangeAspect="1" noEditPoints="1" noChangeArrowheads="1" noChangeShapeType="1" noCrop="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79400" cy="244475"/>
                          </a:xfrm>
                          <a:prstGeom prst="rect">
                            <a:avLst/>
                          </a:prstGeom>
                          <a:noFill/>
                          <a:ln>
                            <a:noFill/>
                          </a:ln>
                        </pic:spPr>
                      </pic:pic>
                    </a:graphicData>
                  </a:graphic>
                </wp:inline>
              </w:drawing>
            </w:r>
            <w:r w:rsidRPr="00B42DEC">
              <w:rPr>
                <w:rFonts w:ascii="Times New Roman" w:eastAsia="Malgun Gothic" w:hAnsi="Times New Roman" w:cs="Times New Roman"/>
                <w:szCs w:val="18"/>
                <w:highlight w:val="yellow"/>
                <w:lang w:val="en-GB" w:eastAsia="ko-KR"/>
              </w:rPr>
              <w:t xml:space="preserve"> from the set </w:t>
            </w:r>
            <w:r w:rsidR="009A4C70" w:rsidRPr="00763D39">
              <w:rPr>
                <w:rFonts w:ascii="Times New Roman" w:eastAsia="Times New Roman" w:hAnsi="Times New Roman" w:cs="Times New Roman"/>
                <w:noProof/>
                <w:position w:val="-10"/>
                <w:szCs w:val="18"/>
                <w:highlight w:val="yellow"/>
                <w:lang w:val="en-GB" w:eastAsia="en-GB"/>
              </w:rPr>
              <w:drawing>
                <wp:inline distT="0" distB="0" distL="0" distR="0" wp14:anchorId="4F4C017B" wp14:editId="2475A361">
                  <wp:extent cx="188595" cy="216535"/>
                  <wp:effectExtent l="0" t="0" r="1905" b="0"/>
                  <wp:docPr id="1089"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Rot="1" noChangeAspect="1" noEditPoints="1" noChangeArrowheads="1" noChangeShapeType="1" noCrop="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88595" cy="216535"/>
                          </a:xfrm>
                          <a:prstGeom prst="rect">
                            <a:avLst/>
                          </a:prstGeom>
                          <a:noFill/>
                          <a:ln>
                            <a:noFill/>
                          </a:ln>
                        </pic:spPr>
                      </pic:pic>
                    </a:graphicData>
                  </a:graphic>
                </wp:inline>
              </w:drawing>
            </w:r>
            <w:r w:rsidRPr="00B42DEC">
              <w:rPr>
                <w:rFonts w:ascii="Times New Roman" w:eastAsia="Malgun Gothic" w:hAnsi="Times New Roman" w:cs="Times New Roman"/>
                <w:szCs w:val="18"/>
                <w:highlight w:val="yellow"/>
                <w:lang w:val="en-GB" w:eastAsia="ko-KR"/>
              </w:rPr>
              <w:t xml:space="preserve"> to </w:t>
            </w:r>
            <w:r w:rsidR="009A4C70" w:rsidRPr="00763D39">
              <w:rPr>
                <w:rFonts w:ascii="Times New Roman" w:eastAsia="Times New Roman" w:hAnsi="Times New Roman" w:cs="Times New Roman"/>
                <w:noProof/>
                <w:position w:val="-10"/>
                <w:szCs w:val="18"/>
                <w:highlight w:val="yellow"/>
                <w:lang w:val="en-GB" w:eastAsia="en-GB"/>
              </w:rPr>
              <w:drawing>
                <wp:inline distT="0" distB="0" distL="0" distR="0" wp14:anchorId="3E21D837" wp14:editId="54FAD4D2">
                  <wp:extent cx="188595" cy="216535"/>
                  <wp:effectExtent l="0" t="0" r="1905" b="0"/>
                  <wp:docPr id="1088"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Rot="1" noChangeAspect="1" noEditPoints="1" noChangeArrowheads="1" noChangeShapeType="1" noCrop="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88595" cy="216535"/>
                          </a:xfrm>
                          <a:prstGeom prst="rect">
                            <a:avLst/>
                          </a:prstGeom>
                          <a:noFill/>
                          <a:ln>
                            <a:noFill/>
                          </a:ln>
                        </pic:spPr>
                      </pic:pic>
                    </a:graphicData>
                  </a:graphic>
                </wp:inline>
              </w:drawing>
            </w:r>
            <w:r w:rsidRPr="00B42DEC">
              <w:rPr>
                <w:rFonts w:ascii="Times New Roman" w:eastAsia="Malgun Gothic" w:hAnsi="Times New Roman" w:cs="Times New Roman"/>
                <w:szCs w:val="18"/>
                <w:highlight w:val="yellow"/>
                <w:lang w:val="en-GB" w:eastAsia="ko-KR"/>
              </w:rPr>
              <w:t xml:space="preserve">. This step is repeated until the number of candidate single-subframe resources in the set </w:t>
            </w:r>
            <w:r w:rsidR="009A4C70" w:rsidRPr="00763D39">
              <w:rPr>
                <w:rFonts w:ascii="Times New Roman" w:eastAsia="Times New Roman" w:hAnsi="Times New Roman" w:cs="Times New Roman"/>
                <w:noProof/>
                <w:position w:val="-10"/>
                <w:szCs w:val="18"/>
                <w:highlight w:val="yellow"/>
                <w:lang w:val="en-GB" w:eastAsia="en-GB"/>
              </w:rPr>
              <w:drawing>
                <wp:inline distT="0" distB="0" distL="0" distR="0" wp14:anchorId="2F04EF96" wp14:editId="14B3524C">
                  <wp:extent cx="188595" cy="216535"/>
                  <wp:effectExtent l="0" t="0" r="1905" b="0"/>
                  <wp:docPr id="1087" name="Picture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
                          <pic:cNvPicPr>
                            <a:picLocks noRot="1" noChangeAspect="1" noEditPoints="1" noChangeArrowheads="1" noChangeShapeType="1" noCrop="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88595" cy="216535"/>
                          </a:xfrm>
                          <a:prstGeom prst="rect">
                            <a:avLst/>
                          </a:prstGeom>
                          <a:noFill/>
                          <a:ln>
                            <a:noFill/>
                          </a:ln>
                        </pic:spPr>
                      </pic:pic>
                    </a:graphicData>
                  </a:graphic>
                </wp:inline>
              </w:drawing>
            </w:r>
            <w:r w:rsidRPr="00B42DEC">
              <w:rPr>
                <w:rFonts w:ascii="Times New Roman" w:eastAsia="Malgun Gothic" w:hAnsi="Times New Roman" w:cs="Times New Roman"/>
                <w:szCs w:val="18"/>
                <w:highlight w:val="yellow"/>
                <w:lang w:val="en-GB" w:eastAsia="ko-KR"/>
              </w:rPr>
              <w:t xml:space="preserve"> becomes greater than or equal to </w:t>
            </w:r>
            <w:r w:rsidR="009A4C70" w:rsidRPr="00763D39">
              <w:rPr>
                <w:rFonts w:ascii="Times New Roman" w:eastAsia="Times New Roman" w:hAnsi="Times New Roman" w:cs="Times New Roman"/>
                <w:noProof/>
                <w:position w:val="-12"/>
                <w:szCs w:val="18"/>
                <w:highlight w:val="yellow"/>
                <w:lang w:val="en-GB" w:eastAsia="en-GB"/>
              </w:rPr>
              <w:drawing>
                <wp:inline distT="0" distB="0" distL="0" distR="0" wp14:anchorId="54B4859D" wp14:editId="0C5F08F6">
                  <wp:extent cx="635000" cy="244475"/>
                  <wp:effectExtent l="0" t="0" r="0" b="0"/>
                  <wp:docPr id="1086"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Rot="1" noChangeAspect="1" noEditPoints="1" noChangeArrowheads="1" noChangeShapeType="1" noCrop="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635000" cy="244475"/>
                          </a:xfrm>
                          <a:prstGeom prst="rect">
                            <a:avLst/>
                          </a:prstGeom>
                          <a:noFill/>
                          <a:ln>
                            <a:noFill/>
                          </a:ln>
                        </pic:spPr>
                      </pic:pic>
                    </a:graphicData>
                  </a:graphic>
                </wp:inline>
              </w:drawing>
            </w:r>
            <w:r w:rsidRPr="00B42DEC">
              <w:rPr>
                <w:rFonts w:ascii="Times New Roman" w:eastAsia="Malgun Gothic" w:hAnsi="Times New Roman" w:cs="Times New Roman"/>
                <w:szCs w:val="18"/>
                <w:highlight w:val="yellow"/>
                <w:lang w:val="en-GB" w:eastAsia="ko-KR"/>
              </w:rPr>
              <w:t>,</w:t>
            </w:r>
          </w:p>
          <w:p w14:paraId="5B781801" w14:textId="5F67BF4E" w:rsidR="00E646AD" w:rsidRPr="00763D39" w:rsidRDefault="00B7435D" w:rsidP="00A45730">
            <w:pPr>
              <w:numPr>
                <w:ilvl w:val="0"/>
                <w:numId w:val="21"/>
              </w:num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18"/>
                <w:szCs w:val="18"/>
                <w:lang w:val="en-GB" w:eastAsia="en-GB"/>
              </w:rPr>
            </w:pPr>
            <w:r w:rsidRPr="00B42DEC">
              <w:rPr>
                <w:rFonts w:ascii="Times New Roman" w:eastAsia="Malgun Gothic" w:hAnsi="Times New Roman" w:cs="Times New Roman"/>
                <w:szCs w:val="18"/>
                <w:lang w:val="en-GB" w:eastAsia="en-GB"/>
              </w:rPr>
              <w:t>10)</w:t>
            </w:r>
            <w:r w:rsidRPr="00B42DEC">
              <w:rPr>
                <w:rFonts w:ascii="Times New Roman" w:eastAsia="Malgun Gothic" w:hAnsi="Times New Roman" w:cs="Times New Roman"/>
                <w:szCs w:val="18"/>
                <w:lang w:val="en-GB" w:eastAsia="en-GB"/>
              </w:rPr>
              <w:tab/>
              <w:t>When the UE is configured by upper layers to transmit using resource pools on multiple carriers, it shall exclude a candidate single-subframe resource</w:t>
            </w:r>
            <w:r w:rsidRPr="00B42DEC" w:rsidDel="007E2BD5">
              <w:rPr>
                <w:rFonts w:ascii="Times New Roman" w:eastAsia="Malgun Gothic" w:hAnsi="Times New Roman" w:cs="Times New Roman"/>
                <w:szCs w:val="18"/>
                <w:lang w:val="en-GB" w:eastAsia="en-GB"/>
              </w:rPr>
              <w:t xml:space="preserve"> </w:t>
            </w:r>
            <w:r w:rsidR="009A4C70" w:rsidRPr="00763D39">
              <w:rPr>
                <w:rFonts w:ascii="Times New Roman" w:eastAsia="Times New Roman" w:hAnsi="Times New Roman" w:cs="Times New Roman"/>
                <w:noProof/>
                <w:position w:val="-14"/>
                <w:szCs w:val="18"/>
                <w:lang w:val="en-GB" w:eastAsia="en-GB"/>
              </w:rPr>
              <w:drawing>
                <wp:inline distT="0" distB="0" distL="0" distR="0" wp14:anchorId="5A239978" wp14:editId="6C39A8A8">
                  <wp:extent cx="279400" cy="244475"/>
                  <wp:effectExtent l="0" t="0" r="0" b="0"/>
                  <wp:docPr id="1085"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Rot="1" noChangeAspect="1" noEditPoints="1" noChangeArrowheads="1" noChangeShapeType="1" noCrop="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9400" cy="24447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en-GB"/>
              </w:rPr>
              <w:t xml:space="preserve"> from </w:t>
            </w:r>
            <w:r w:rsidR="009A4C70" w:rsidRPr="00763D39">
              <w:rPr>
                <w:rFonts w:ascii="Times New Roman" w:eastAsia="Times New Roman" w:hAnsi="Times New Roman" w:cs="Times New Roman"/>
                <w:noProof/>
                <w:position w:val="-10"/>
                <w:szCs w:val="18"/>
                <w:lang w:val="en-GB" w:eastAsia="en-GB"/>
              </w:rPr>
              <w:drawing>
                <wp:inline distT="0" distB="0" distL="0" distR="0" wp14:anchorId="510D6ED4" wp14:editId="0D7F22A1">
                  <wp:extent cx="188595" cy="202565"/>
                  <wp:effectExtent l="0" t="0" r="1905" b="635"/>
                  <wp:docPr id="1084"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0"/>
                          <pic:cNvPicPr>
                            <a:picLocks noRot="1" noChangeAspect="1" noEditPoints="1" noChangeArrowheads="1" noChangeShapeType="1" noCrop="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88595" cy="20256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en-GB"/>
              </w:rPr>
              <w:t xml:space="preserve"> if the UE does not support transmission in the candidate single-subframe resource</w:t>
            </w:r>
            <w:r w:rsidRPr="00B42DEC">
              <w:rPr>
                <w:rFonts w:ascii="Times New Roman" w:eastAsia="Times New Roman" w:hAnsi="Times New Roman" w:cs="Times New Roman"/>
                <w:szCs w:val="18"/>
                <w:lang w:val="en-GB" w:eastAsia="en-GB"/>
              </w:rPr>
              <w:t xml:space="preserve"> </w:t>
            </w:r>
            <w:r w:rsidRPr="00B42DEC">
              <w:rPr>
                <w:rFonts w:ascii="Times New Roman" w:eastAsia="Malgun Gothic" w:hAnsi="Times New Roman" w:cs="Times New Roman"/>
                <w:szCs w:val="18"/>
                <w:lang w:val="en-GB" w:eastAsia="en-GB"/>
              </w:rPr>
              <w:t xml:space="preserve">in the carrier under the assumption that transmissions take place in other carrier(s) using the already selected resources due to its </w:t>
            </w:r>
            <w:r w:rsidRPr="00B42DEC">
              <w:rPr>
                <w:rFonts w:ascii="Times New Roman" w:eastAsia="Malgun Gothic" w:hAnsi="Times New Roman" w:cs="Times New Roman"/>
                <w:szCs w:val="18"/>
                <w:lang w:val="en-GB" w:eastAsia="en-GB"/>
              </w:rPr>
              <w:lastRenderedPageBreak/>
              <w:t>limitation in the number of simultaneous transmission carriers, its limitation in the supported carrier combinations, or interruption for RF retuning time [10].</w:t>
            </w:r>
          </w:p>
          <w:p w14:paraId="4DEF9215" w14:textId="0B2F439F" w:rsidR="00E646AD" w:rsidRPr="0098035C" w:rsidRDefault="007D7150" w:rsidP="0098035C">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B42DEC">
              <w:rPr>
                <w:rFonts w:ascii="Times New Roman" w:eastAsia="Malgun Gothic" w:hAnsi="Times New Roman" w:cs="Times New Roman"/>
                <w:szCs w:val="18"/>
                <w:lang w:val="en-GB" w:eastAsia="ko-KR"/>
              </w:rPr>
              <w:t xml:space="preserve">The UE shall report set </w:t>
            </w:r>
            <w:r w:rsidR="009A4C70" w:rsidRPr="00763D39">
              <w:rPr>
                <w:rFonts w:ascii="Times New Roman" w:eastAsia="Times New Roman" w:hAnsi="Times New Roman" w:cs="Times New Roman"/>
                <w:noProof/>
                <w:position w:val="-10"/>
                <w:szCs w:val="18"/>
                <w:lang w:val="en-GB" w:eastAsia="en-GB"/>
              </w:rPr>
              <w:drawing>
                <wp:inline distT="0" distB="0" distL="0" distR="0" wp14:anchorId="4636779A" wp14:editId="754610DF">
                  <wp:extent cx="188595" cy="216535"/>
                  <wp:effectExtent l="0" t="0" r="1905" b="0"/>
                  <wp:docPr id="1083"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pic:cNvPicPr>
                            <a:picLocks noRot="1" noChangeAspect="1" noEditPoints="1" noChangeArrowheads="1" noChangeShapeType="1" noCrop="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88595" cy="216535"/>
                          </a:xfrm>
                          <a:prstGeom prst="rect">
                            <a:avLst/>
                          </a:prstGeom>
                          <a:noFill/>
                          <a:ln>
                            <a:noFill/>
                          </a:ln>
                        </pic:spPr>
                      </pic:pic>
                    </a:graphicData>
                  </a:graphic>
                </wp:inline>
              </w:drawing>
            </w:r>
            <w:r w:rsidRPr="00B42DEC">
              <w:rPr>
                <w:rFonts w:ascii="Times New Roman" w:eastAsia="Malgun Gothic" w:hAnsi="Times New Roman" w:cs="Times New Roman"/>
                <w:szCs w:val="18"/>
                <w:lang w:val="en-GB" w:eastAsia="ko-KR"/>
              </w:rPr>
              <w:t xml:space="preserve"> to higher layers.</w:t>
            </w:r>
          </w:p>
        </w:tc>
      </w:tr>
    </w:tbl>
    <w:p w14:paraId="14BF7F23" w14:textId="20DAEE70" w:rsidR="005452BC" w:rsidRDefault="005452BC" w:rsidP="00795F23">
      <w:pPr>
        <w:pStyle w:val="Caption"/>
        <w:keepNext/>
        <w:jc w:val="center"/>
      </w:pPr>
      <w:bookmarkStart w:id="29" w:name="_Ref110938779"/>
      <w:r>
        <w:lastRenderedPageBreak/>
        <w:t xml:space="preserve">Table </w:t>
      </w:r>
      <w:r>
        <w:fldChar w:fldCharType="begin"/>
      </w:r>
      <w:r>
        <w:instrText xml:space="preserve"> SEQ Table \* ARABIC </w:instrText>
      </w:r>
      <w:r>
        <w:fldChar w:fldCharType="separate"/>
      </w:r>
      <w:r w:rsidR="003C0409">
        <w:rPr>
          <w:noProof/>
        </w:rPr>
        <w:t>3</w:t>
      </w:r>
      <w:r>
        <w:fldChar w:fldCharType="end"/>
      </w:r>
      <w:bookmarkEnd w:id="29"/>
      <w:r w:rsidR="00251667">
        <w:t>. Configuration of the PRBs used for PSFCH transmission (</w:t>
      </w:r>
      <w:r w:rsidR="00181E58">
        <w:t>TS 38.331)</w:t>
      </w:r>
    </w:p>
    <w:tbl>
      <w:tblPr>
        <w:tblStyle w:val="TableGrid"/>
        <w:tblW w:w="0" w:type="auto"/>
        <w:tblLook w:val="04A0" w:firstRow="1" w:lastRow="0" w:firstColumn="1" w:lastColumn="0" w:noHBand="0" w:noVBand="1"/>
      </w:tblPr>
      <w:tblGrid>
        <w:gridCol w:w="9629"/>
      </w:tblGrid>
      <w:tr w:rsidR="008A18D9" w14:paraId="5E298D7B" w14:textId="77777777" w:rsidTr="005E6C81">
        <w:tc>
          <w:tcPr>
            <w:tcW w:w="9629" w:type="dxa"/>
          </w:tcPr>
          <w:p w14:paraId="0831161A" w14:textId="610B7951" w:rsidR="008A18D9" w:rsidRPr="00251667" w:rsidRDefault="008A18D9" w:rsidP="00795F23">
            <w:pPr>
              <w:keepNext/>
              <w:keepLines/>
              <w:overflowPunct w:val="0"/>
              <w:autoSpaceDE w:val="0"/>
              <w:autoSpaceDN w:val="0"/>
              <w:adjustRightInd w:val="0"/>
              <w:spacing w:after="0" w:line="240" w:lineRule="auto"/>
              <w:jc w:val="center"/>
              <w:textAlignment w:val="baseline"/>
              <w:rPr>
                <w:rFonts w:eastAsia="Times New Roman" w:cs="Arial"/>
                <w:b/>
                <w:i/>
                <w:sz w:val="18"/>
                <w:szCs w:val="18"/>
                <w:lang w:val="en-GB" w:eastAsia="en-GB"/>
              </w:rPr>
            </w:pPr>
            <w:r w:rsidRPr="00795F23">
              <w:rPr>
                <w:b/>
                <w:bCs/>
                <w:i/>
                <w:noProof/>
                <w:sz w:val="18"/>
                <w:szCs w:val="18"/>
                <w:lang w:eastAsia="en-GB"/>
              </w:rPr>
              <w:t xml:space="preserve">SL-PSFCH-Config </w:t>
            </w:r>
            <w:r w:rsidRPr="00795F23">
              <w:rPr>
                <w:b/>
                <w:bCs/>
                <w:noProof/>
                <w:sz w:val="18"/>
                <w:szCs w:val="18"/>
                <w:lang w:eastAsia="en-GB"/>
              </w:rPr>
              <w:t>field descriptions</w:t>
            </w:r>
          </w:p>
        </w:tc>
      </w:tr>
      <w:tr w:rsidR="008A18D9" w14:paraId="49931A14" w14:textId="77777777" w:rsidTr="005E6C81">
        <w:tc>
          <w:tcPr>
            <w:tcW w:w="9629" w:type="dxa"/>
          </w:tcPr>
          <w:p w14:paraId="0A55C034" w14:textId="77777777" w:rsidR="008A18D9" w:rsidRPr="00EB4634" w:rsidRDefault="008A18D9" w:rsidP="00795F23">
            <w:pPr>
              <w:keepNext/>
              <w:keepLines/>
              <w:overflowPunct w:val="0"/>
              <w:autoSpaceDE w:val="0"/>
              <w:autoSpaceDN w:val="0"/>
              <w:adjustRightInd w:val="0"/>
              <w:spacing w:after="0" w:line="240" w:lineRule="auto"/>
              <w:textAlignment w:val="baseline"/>
              <w:rPr>
                <w:rFonts w:eastAsia="Times New Roman" w:cs="Arial"/>
                <w:b/>
                <w:i/>
                <w:sz w:val="18"/>
                <w:szCs w:val="18"/>
                <w:lang w:val="en-GB" w:eastAsia="en-GB"/>
              </w:rPr>
            </w:pPr>
            <w:proofErr w:type="spellStart"/>
            <w:r w:rsidRPr="00EB4634">
              <w:rPr>
                <w:rFonts w:eastAsia="Times New Roman" w:cs="Arial"/>
                <w:b/>
                <w:i/>
                <w:sz w:val="18"/>
                <w:szCs w:val="18"/>
                <w:lang w:val="en-GB" w:eastAsia="en-GB"/>
              </w:rPr>
              <w:t>sl</w:t>
            </w:r>
            <w:proofErr w:type="spellEnd"/>
            <w:r w:rsidRPr="00EB4634">
              <w:rPr>
                <w:rFonts w:eastAsia="Times New Roman" w:cs="Arial"/>
                <w:b/>
                <w:i/>
                <w:sz w:val="18"/>
                <w:szCs w:val="18"/>
                <w:lang w:val="en-GB" w:eastAsia="en-GB"/>
              </w:rPr>
              <w:t>-PSFCH-RB-Set</w:t>
            </w:r>
          </w:p>
          <w:p w14:paraId="664A4056" w14:textId="16BB50F4" w:rsidR="008A18D9" w:rsidRDefault="008A18D9" w:rsidP="00795F23">
            <w:pPr>
              <w:jc w:val="both"/>
              <w:rPr>
                <w:lang w:eastAsia="ja-JP"/>
              </w:rPr>
            </w:pPr>
            <w:r w:rsidRPr="00795F23">
              <w:rPr>
                <w:rFonts w:eastAsia="Times New Roman" w:cs="Arial"/>
                <w:bCs/>
                <w:kern w:val="2"/>
                <w:sz w:val="18"/>
                <w:szCs w:val="18"/>
                <w:lang w:val="en-GB" w:eastAsia="en-GB"/>
              </w:rPr>
              <w:t xml:space="preserve">Indicates the set of PRBs that are </w:t>
            </w:r>
            <w:proofErr w:type="gramStart"/>
            <w:r w:rsidRPr="00795F23">
              <w:rPr>
                <w:rFonts w:eastAsia="Times New Roman" w:cs="Arial"/>
                <w:bCs/>
                <w:kern w:val="2"/>
                <w:sz w:val="18"/>
                <w:szCs w:val="18"/>
                <w:lang w:val="en-GB" w:eastAsia="en-GB"/>
              </w:rPr>
              <w:t>actually used</w:t>
            </w:r>
            <w:proofErr w:type="gramEnd"/>
            <w:r w:rsidRPr="00795F23">
              <w:rPr>
                <w:rFonts w:eastAsia="Times New Roman" w:cs="Arial"/>
                <w:bCs/>
                <w:kern w:val="2"/>
                <w:sz w:val="18"/>
                <w:szCs w:val="18"/>
                <w:lang w:val="en-GB" w:eastAsia="en-GB"/>
              </w:rPr>
              <w:t xml:space="preserve"> for PSFCH transmission and reception. 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tc>
      </w:tr>
      <w:tr w:rsidR="00C711AB" w14:paraId="4CDD9092" w14:textId="77777777" w:rsidTr="005E6C81">
        <w:tc>
          <w:tcPr>
            <w:tcW w:w="9629" w:type="dxa"/>
          </w:tcPr>
          <w:p w14:paraId="16D6E360" w14:textId="77777777" w:rsidR="00C711AB" w:rsidRPr="00EB4634" w:rsidRDefault="00C711AB" w:rsidP="00795F23">
            <w:pPr>
              <w:keepNext/>
              <w:keepLines/>
              <w:overflowPunct w:val="0"/>
              <w:autoSpaceDE w:val="0"/>
              <w:autoSpaceDN w:val="0"/>
              <w:adjustRightInd w:val="0"/>
              <w:spacing w:after="0" w:line="240" w:lineRule="auto"/>
              <w:textAlignment w:val="baseline"/>
              <w:rPr>
                <w:rFonts w:eastAsia="Times New Roman" w:cs="Arial"/>
                <w:b/>
                <w:i/>
                <w:sz w:val="18"/>
                <w:szCs w:val="18"/>
                <w:lang w:val="en-GB" w:eastAsia="en-GB"/>
              </w:rPr>
            </w:pPr>
          </w:p>
        </w:tc>
      </w:tr>
    </w:tbl>
    <w:p w14:paraId="7F1DC3D5" w14:textId="77777777" w:rsidR="00C711AB" w:rsidRDefault="00C711AB" w:rsidP="00C711AB"/>
    <w:p w14:paraId="7BBBE147" w14:textId="500D2405" w:rsidR="004A0C0E" w:rsidRDefault="0006688D" w:rsidP="002B7518">
      <w:pPr>
        <w:jc w:val="both"/>
        <w:rPr>
          <w:lang w:val="en-GB" w:eastAsia="ja-JP"/>
        </w:rPr>
      </w:pPr>
      <w:r>
        <w:rPr>
          <w:lang w:eastAsia="ja-JP"/>
        </w:rPr>
        <w:t xml:space="preserve">It is </w:t>
      </w:r>
      <w:r w:rsidRPr="00E264A8">
        <w:rPr>
          <w:rFonts w:cs="Arial"/>
          <w:lang w:eastAsia="ja-JP"/>
        </w:rPr>
        <w:t xml:space="preserve">important to note that the LTE sensing procedure does not operate </w:t>
      </w:r>
      <w:r w:rsidR="00810160">
        <w:rPr>
          <w:rFonts w:cs="Arial"/>
          <w:lang w:eastAsia="ja-JP"/>
        </w:rPr>
        <w:t xml:space="preserve">directly </w:t>
      </w:r>
      <w:r w:rsidR="00B11C9F">
        <w:rPr>
          <w:rFonts w:cs="Arial"/>
          <w:lang w:eastAsia="ja-JP"/>
        </w:rPr>
        <w:t xml:space="preserve">using </w:t>
      </w:r>
      <w:r w:rsidR="00810160">
        <w:rPr>
          <w:rFonts w:cs="Arial"/>
          <w:lang w:eastAsia="ja-JP"/>
        </w:rPr>
        <w:t>subframes</w:t>
      </w:r>
      <w:r w:rsidR="00001EF6">
        <w:rPr>
          <w:rFonts w:cs="Arial"/>
          <w:lang w:eastAsia="ja-JP"/>
        </w:rPr>
        <w:t xml:space="preserve"> granularity</w:t>
      </w:r>
      <w:r w:rsidR="00810160">
        <w:rPr>
          <w:rFonts w:cs="Arial"/>
          <w:lang w:eastAsia="ja-JP"/>
        </w:rPr>
        <w:t xml:space="preserve"> but rather using</w:t>
      </w:r>
      <w:r w:rsidRPr="00E264A8">
        <w:rPr>
          <w:rFonts w:cs="Arial"/>
          <w:lang w:eastAsia="ja-JP"/>
        </w:rPr>
        <w:t xml:space="preserve"> </w:t>
      </w:r>
      <w:r w:rsidR="00B11C9F">
        <w:rPr>
          <w:rFonts w:cs="Arial"/>
          <w:lang w:eastAsia="ja-JP"/>
        </w:rPr>
        <w:t>“</w:t>
      </w:r>
      <w:r w:rsidR="00B11C9F" w:rsidRPr="006742D0">
        <w:rPr>
          <w:rFonts w:eastAsia="Malgun Gothic" w:cs="Arial"/>
          <w:i/>
          <w:iCs/>
          <w:szCs w:val="20"/>
          <w:lang w:val="en-GB" w:eastAsia="ko-KR"/>
        </w:rPr>
        <w:t>candidate single-subframe resource</w:t>
      </w:r>
      <w:r w:rsidR="00B11C9F" w:rsidRPr="006742D0">
        <w:rPr>
          <w:rFonts w:eastAsia="Malgun Gothic" w:cs="Arial"/>
          <w:szCs w:val="20"/>
          <w:lang w:val="en-GB" w:eastAsia="ko-KR"/>
        </w:rPr>
        <w:t xml:space="preserve"> </w:t>
      </w:r>
      <w:proofErr w:type="spellStart"/>
      <w:proofErr w:type="gramStart"/>
      <w:r w:rsidR="006E6BB6" w:rsidRPr="006742D0">
        <w:rPr>
          <w:rFonts w:eastAsia="Malgun Gothic" w:cs="Arial"/>
          <w:i/>
          <w:szCs w:val="20"/>
          <w:lang w:eastAsia="ko-KR"/>
        </w:rPr>
        <w:t>R</w:t>
      </w:r>
      <w:r w:rsidR="006E6BB6" w:rsidRPr="006742D0">
        <w:rPr>
          <w:rFonts w:eastAsia="Malgun Gothic" w:cs="Arial"/>
          <w:i/>
          <w:szCs w:val="20"/>
          <w:vertAlign w:val="subscript"/>
          <w:lang w:eastAsia="ko-KR"/>
        </w:rPr>
        <w:t>x,y</w:t>
      </w:r>
      <w:proofErr w:type="spellEnd"/>
      <w:proofErr w:type="gramEnd"/>
      <w:r w:rsidR="00B11C9F">
        <w:rPr>
          <w:rFonts w:eastAsia="Malgun Gothic" w:cs="Arial"/>
          <w:szCs w:val="20"/>
          <w:lang w:eastAsia="ko-KR"/>
        </w:rPr>
        <w:t>”</w:t>
      </w:r>
      <w:r w:rsidR="00810160">
        <w:rPr>
          <w:rFonts w:eastAsia="Malgun Gothic" w:cs="Arial"/>
          <w:szCs w:val="20"/>
          <w:lang w:eastAsia="ko-KR"/>
        </w:rPr>
        <w:t>. That is,</w:t>
      </w:r>
      <w:r w:rsidR="008800F7">
        <w:rPr>
          <w:rFonts w:eastAsia="Malgun Gothic" w:cs="Arial"/>
          <w:szCs w:val="20"/>
          <w:lang w:eastAsia="ko-KR"/>
        </w:rPr>
        <w:t xml:space="preserve"> the sensing procedure does not sense and eventually exclude entire subframes but </w:t>
      </w:r>
      <w:r w:rsidR="008800F7">
        <w:rPr>
          <w:rFonts w:cs="Arial"/>
          <w:lang w:eastAsia="ja-JP"/>
        </w:rPr>
        <w:t>“</w:t>
      </w:r>
      <w:r w:rsidR="008800F7" w:rsidRPr="00CC6EBA">
        <w:rPr>
          <w:rFonts w:eastAsia="Malgun Gothic" w:cs="Arial"/>
          <w:i/>
          <w:iCs/>
          <w:szCs w:val="20"/>
          <w:lang w:val="en-GB" w:eastAsia="ko-KR"/>
        </w:rPr>
        <w:t>candidate single-subframe resource</w:t>
      </w:r>
      <w:r w:rsidR="006E6BB6" w:rsidRPr="006E6BB6">
        <w:rPr>
          <w:rFonts w:eastAsia="Malgun Gothic" w:cs="Arial"/>
          <w:i/>
          <w:szCs w:val="20"/>
          <w:lang w:eastAsia="ko-KR"/>
        </w:rPr>
        <w:t xml:space="preserve"> </w:t>
      </w:r>
      <w:proofErr w:type="spellStart"/>
      <w:proofErr w:type="gramStart"/>
      <w:r w:rsidR="006E6BB6" w:rsidRPr="00CC6EBA">
        <w:rPr>
          <w:rFonts w:eastAsia="Malgun Gothic" w:cs="Arial"/>
          <w:i/>
          <w:szCs w:val="20"/>
          <w:lang w:eastAsia="ko-KR"/>
        </w:rPr>
        <w:t>R</w:t>
      </w:r>
      <w:r w:rsidR="006E6BB6" w:rsidRPr="00CC6EBA">
        <w:rPr>
          <w:rFonts w:eastAsia="Malgun Gothic" w:cs="Arial"/>
          <w:i/>
          <w:szCs w:val="20"/>
          <w:vertAlign w:val="subscript"/>
          <w:lang w:eastAsia="ko-KR"/>
        </w:rPr>
        <w:t>x,y</w:t>
      </w:r>
      <w:proofErr w:type="spellEnd"/>
      <w:proofErr w:type="gramEnd"/>
      <w:r w:rsidR="008800F7">
        <w:rPr>
          <w:rFonts w:eastAsia="Malgun Gothic" w:cs="Arial"/>
          <w:szCs w:val="20"/>
          <w:lang w:eastAsia="ko-KR"/>
        </w:rPr>
        <w:t xml:space="preserve">”. The size in frequency of a </w:t>
      </w:r>
      <w:r w:rsidR="008800F7">
        <w:rPr>
          <w:rFonts w:cs="Arial"/>
          <w:lang w:eastAsia="ja-JP"/>
        </w:rPr>
        <w:t>“</w:t>
      </w:r>
      <w:r w:rsidR="008800F7" w:rsidRPr="00CC6EBA">
        <w:rPr>
          <w:rFonts w:eastAsia="Malgun Gothic" w:cs="Arial"/>
          <w:i/>
          <w:iCs/>
          <w:szCs w:val="20"/>
          <w:lang w:val="en-GB" w:eastAsia="ko-KR"/>
        </w:rPr>
        <w:t>candidate single-subframe resource</w:t>
      </w:r>
      <w:r w:rsidR="006E6BB6" w:rsidRPr="006E6BB6">
        <w:rPr>
          <w:rFonts w:eastAsia="Malgun Gothic" w:cs="Arial"/>
          <w:i/>
          <w:szCs w:val="20"/>
          <w:lang w:eastAsia="ko-KR"/>
        </w:rPr>
        <w:t xml:space="preserve"> </w:t>
      </w:r>
      <w:proofErr w:type="spellStart"/>
      <w:proofErr w:type="gramStart"/>
      <w:r w:rsidR="006E6BB6" w:rsidRPr="00CC6EBA">
        <w:rPr>
          <w:rFonts w:eastAsia="Malgun Gothic" w:cs="Arial"/>
          <w:i/>
          <w:szCs w:val="20"/>
          <w:lang w:eastAsia="ko-KR"/>
        </w:rPr>
        <w:t>R</w:t>
      </w:r>
      <w:r w:rsidR="006E6BB6" w:rsidRPr="00CC6EBA">
        <w:rPr>
          <w:rFonts w:eastAsia="Malgun Gothic" w:cs="Arial"/>
          <w:i/>
          <w:szCs w:val="20"/>
          <w:vertAlign w:val="subscript"/>
          <w:lang w:eastAsia="ko-KR"/>
        </w:rPr>
        <w:t>x,y</w:t>
      </w:r>
      <w:proofErr w:type="spellEnd"/>
      <w:proofErr w:type="gramEnd"/>
      <w:r w:rsidR="008800F7">
        <w:rPr>
          <w:rFonts w:eastAsia="Malgun Gothic" w:cs="Arial"/>
          <w:szCs w:val="20"/>
          <w:lang w:eastAsia="ko-KR"/>
        </w:rPr>
        <w:t>”</w:t>
      </w:r>
      <w:r w:rsidR="003A4729">
        <w:rPr>
          <w:rFonts w:eastAsia="Malgun Gothic" w:cs="Arial"/>
          <w:szCs w:val="20"/>
          <w:lang w:eastAsia="ko-KR"/>
        </w:rPr>
        <w:t xml:space="preserve"> </w:t>
      </w:r>
      <w:r w:rsidR="00473ED9">
        <w:rPr>
          <w:rFonts w:eastAsia="Malgun Gothic" w:cs="Arial"/>
          <w:szCs w:val="20"/>
          <w:lang w:eastAsia="ko-KR"/>
        </w:rPr>
        <w:t>varies (from one to all sub-channels) depending on the desired allocation.</w:t>
      </w:r>
      <w:r w:rsidR="00BD7B59">
        <w:rPr>
          <w:rFonts w:eastAsia="Malgun Gothic" w:cs="Arial"/>
          <w:szCs w:val="20"/>
          <w:lang w:eastAsia="ko-KR"/>
        </w:rPr>
        <w:t xml:space="preserve"> To avoid </w:t>
      </w:r>
      <w:r w:rsidR="000663E2">
        <w:rPr>
          <w:rFonts w:eastAsia="Malgun Gothic" w:cs="Arial"/>
          <w:szCs w:val="20"/>
          <w:lang w:eastAsia="ko-KR"/>
        </w:rPr>
        <w:t xml:space="preserve">proper operation of the sensing procedure and exclusion of all the LTE resources in subframes overlapping with NR slots with PSFCH resources it is important </w:t>
      </w:r>
      <w:r w:rsidR="00794DC0">
        <w:rPr>
          <w:rFonts w:eastAsia="Malgun Gothic" w:cs="Arial"/>
          <w:szCs w:val="20"/>
          <w:lang w:eastAsia="ko-KR"/>
        </w:rPr>
        <w:t>that RSSI measurements in all LTE sub-channels reflect the presence of PSFCH transmissions.</w:t>
      </w:r>
      <w:r w:rsidR="00C6799A">
        <w:rPr>
          <w:rFonts w:eastAsia="Malgun Gothic" w:cs="Arial"/>
          <w:szCs w:val="20"/>
          <w:lang w:eastAsia="ko-KR"/>
        </w:rPr>
        <w:t xml:space="preserve"> </w:t>
      </w:r>
      <w:r w:rsidR="00B5182B">
        <w:rPr>
          <w:lang w:eastAsia="ja-JP"/>
        </w:rPr>
        <w:t>To this end</w:t>
      </w:r>
      <w:r w:rsidR="004A0C0E">
        <w:rPr>
          <w:lang w:val="en-GB" w:eastAsia="ja-JP"/>
        </w:rPr>
        <w:t xml:space="preserve">, </w:t>
      </w:r>
      <w:r w:rsidR="00AB1E9B">
        <w:rPr>
          <w:lang w:val="en-GB" w:eastAsia="ja-JP"/>
        </w:rPr>
        <w:t>one</w:t>
      </w:r>
      <w:r w:rsidR="002C5A84">
        <w:rPr>
          <w:lang w:val="en-GB" w:eastAsia="ja-JP"/>
        </w:rPr>
        <w:t xml:space="preserve"> can configure </w:t>
      </w:r>
      <w:r w:rsidR="00C95499">
        <w:rPr>
          <w:lang w:eastAsia="ja-JP"/>
        </w:rPr>
        <w:t xml:space="preserve">NR </w:t>
      </w:r>
      <w:r w:rsidR="004F6235">
        <w:rPr>
          <w:lang w:val="en-GB" w:eastAsia="ja-JP"/>
        </w:rPr>
        <w:t>PSFCH</w:t>
      </w:r>
      <w:r w:rsidR="00104911">
        <w:rPr>
          <w:lang w:val="en-GB" w:eastAsia="ja-JP"/>
        </w:rPr>
        <w:t xml:space="preserve"> resources</w:t>
      </w:r>
      <w:r w:rsidR="004F6235">
        <w:rPr>
          <w:lang w:val="en-GB" w:eastAsia="ja-JP"/>
        </w:rPr>
        <w:t xml:space="preserve"> </w:t>
      </w:r>
      <w:r w:rsidR="008354F8">
        <w:rPr>
          <w:lang w:val="en-GB" w:eastAsia="ja-JP"/>
        </w:rPr>
        <w:t>acco</w:t>
      </w:r>
      <w:r w:rsidR="00104911">
        <w:rPr>
          <w:lang w:val="en-GB" w:eastAsia="ja-JP"/>
        </w:rPr>
        <w:t>r</w:t>
      </w:r>
      <w:r w:rsidR="00082763">
        <w:rPr>
          <w:lang w:val="en-GB" w:eastAsia="ja-JP"/>
        </w:rPr>
        <w:t xml:space="preserve">ding </w:t>
      </w:r>
      <w:r w:rsidR="00104911">
        <w:rPr>
          <w:lang w:val="en-GB" w:eastAsia="ja-JP"/>
        </w:rPr>
        <w:t>to LTE SL</w:t>
      </w:r>
      <w:r w:rsidR="002D0778">
        <w:rPr>
          <w:lang w:val="en-GB" w:eastAsia="ja-JP"/>
        </w:rPr>
        <w:t xml:space="preserve"> subchannels</w:t>
      </w:r>
      <w:r w:rsidR="00F36753">
        <w:rPr>
          <w:lang w:val="en-GB" w:eastAsia="ja-JP"/>
        </w:rPr>
        <w:t xml:space="preserve"> such </w:t>
      </w:r>
      <w:r w:rsidR="00F56EFE">
        <w:rPr>
          <w:lang w:val="en-GB" w:eastAsia="ja-JP"/>
        </w:rPr>
        <w:t xml:space="preserve">that </w:t>
      </w:r>
      <w:r w:rsidR="003E6B14">
        <w:rPr>
          <w:lang w:val="en-GB" w:eastAsia="ja-JP"/>
        </w:rPr>
        <w:t>corresponding to</w:t>
      </w:r>
      <w:r w:rsidR="0096499C">
        <w:rPr>
          <w:lang w:val="en-GB" w:eastAsia="ja-JP"/>
        </w:rPr>
        <w:t xml:space="preserve"> each LTE SL subchannel there </w:t>
      </w:r>
      <w:r w:rsidR="006605CF">
        <w:rPr>
          <w:lang w:val="en-GB" w:eastAsia="ja-JP"/>
        </w:rPr>
        <w:t>is</w:t>
      </w:r>
      <w:r w:rsidR="0096499C">
        <w:rPr>
          <w:lang w:val="en-GB" w:eastAsia="ja-JP"/>
        </w:rPr>
        <w:t xml:space="preserve"> </w:t>
      </w:r>
      <w:r w:rsidR="00FA6B4E">
        <w:rPr>
          <w:lang w:val="en-GB" w:eastAsia="ja-JP"/>
        </w:rPr>
        <w:t>at least</w:t>
      </w:r>
      <w:r w:rsidR="00EA63B1">
        <w:rPr>
          <w:lang w:val="en-GB" w:eastAsia="ja-JP"/>
        </w:rPr>
        <w:t xml:space="preserve"> </w:t>
      </w:r>
      <w:r w:rsidR="00001EF6">
        <w:rPr>
          <w:lang w:val="en-GB" w:eastAsia="ja-JP"/>
        </w:rPr>
        <w:t>one</w:t>
      </w:r>
      <w:r w:rsidR="00EA63B1">
        <w:rPr>
          <w:lang w:val="en-GB" w:eastAsia="ja-JP"/>
        </w:rPr>
        <w:t xml:space="preserve"> </w:t>
      </w:r>
      <w:r w:rsidR="0036272F">
        <w:rPr>
          <w:lang w:val="en-GB" w:eastAsia="ja-JP"/>
        </w:rPr>
        <w:t>PSFCH resource</w:t>
      </w:r>
      <w:r w:rsidR="00CD03DA">
        <w:rPr>
          <w:lang w:val="en-GB" w:eastAsia="ja-JP"/>
        </w:rPr>
        <w:t>, as illustrated in</w:t>
      </w:r>
      <w:r w:rsidR="00CD03DA" w:rsidDel="00001EF6">
        <w:rPr>
          <w:lang w:val="en-GB" w:eastAsia="ja-JP"/>
        </w:rPr>
        <w:t xml:space="preserve"> </w:t>
      </w:r>
      <w:r w:rsidR="00B15D46">
        <w:rPr>
          <w:lang w:val="en-GB" w:eastAsia="ja-JP"/>
        </w:rPr>
        <w:fldChar w:fldCharType="begin"/>
      </w:r>
      <w:r w:rsidR="00B15D46">
        <w:rPr>
          <w:lang w:val="en-GB" w:eastAsia="ja-JP"/>
        </w:rPr>
        <w:instrText xml:space="preserve"> REF _Ref115250616 \h </w:instrText>
      </w:r>
      <w:r w:rsidR="00001EF6">
        <w:rPr>
          <w:lang w:val="en-GB" w:eastAsia="ja-JP"/>
        </w:rPr>
        <w:instrText xml:space="preserve"> \* MERGEFORMAT </w:instrText>
      </w:r>
      <w:r w:rsidR="00B15D46">
        <w:rPr>
          <w:lang w:val="en-GB" w:eastAsia="ja-JP"/>
        </w:rPr>
      </w:r>
      <w:r w:rsidR="00B15D46">
        <w:rPr>
          <w:lang w:val="en-GB" w:eastAsia="ja-JP"/>
        </w:rPr>
        <w:fldChar w:fldCharType="separate"/>
      </w:r>
      <w:r w:rsidR="00BC3592">
        <w:t xml:space="preserve">Figure </w:t>
      </w:r>
      <w:r w:rsidR="00BC3592">
        <w:rPr>
          <w:noProof/>
        </w:rPr>
        <w:t>2</w:t>
      </w:r>
      <w:r w:rsidR="00B15D46">
        <w:rPr>
          <w:lang w:val="en-GB" w:eastAsia="ja-JP"/>
        </w:rPr>
        <w:fldChar w:fldCharType="end"/>
      </w:r>
      <w:r w:rsidR="00B15D46">
        <w:rPr>
          <w:lang w:val="en-GB" w:eastAsia="ja-JP"/>
        </w:rPr>
        <w:t xml:space="preserve">. </w:t>
      </w:r>
      <w:r w:rsidR="000E71CA">
        <w:rPr>
          <w:lang w:val="en-GB" w:eastAsia="ja-JP"/>
        </w:rPr>
        <w:t xml:space="preserve">Following this way, the </w:t>
      </w:r>
      <w:r w:rsidR="004D0CF2">
        <w:rPr>
          <w:lang w:val="en-GB" w:eastAsia="ja-JP"/>
        </w:rPr>
        <w:t xml:space="preserve">measured energy on </w:t>
      </w:r>
      <w:r w:rsidR="0039641F">
        <w:rPr>
          <w:lang w:val="en-GB" w:eastAsia="ja-JP"/>
        </w:rPr>
        <w:t>those subchannels</w:t>
      </w:r>
      <w:r w:rsidR="004D0CF2">
        <w:rPr>
          <w:lang w:val="en-GB" w:eastAsia="ja-JP"/>
        </w:rPr>
        <w:t xml:space="preserve"> will be </w:t>
      </w:r>
      <w:r w:rsidR="00A1587E">
        <w:rPr>
          <w:lang w:val="en-GB" w:eastAsia="ja-JP"/>
        </w:rPr>
        <w:t xml:space="preserve">relatively </w:t>
      </w:r>
      <w:r w:rsidR="004D0CF2">
        <w:rPr>
          <w:lang w:val="en-GB" w:eastAsia="ja-JP"/>
        </w:rPr>
        <w:t>high</w:t>
      </w:r>
      <w:r w:rsidR="00A1587E">
        <w:rPr>
          <w:lang w:val="en-GB" w:eastAsia="ja-JP"/>
        </w:rPr>
        <w:t xml:space="preserve">er </w:t>
      </w:r>
      <w:proofErr w:type="spellStart"/>
      <w:r w:rsidR="00A1587E">
        <w:rPr>
          <w:lang w:val="en-GB" w:eastAsia="ja-JP"/>
        </w:rPr>
        <w:t>tha</w:t>
      </w:r>
      <w:proofErr w:type="spellEnd"/>
      <w:r w:rsidR="00C95499">
        <w:rPr>
          <w:lang w:eastAsia="ja-JP"/>
        </w:rPr>
        <w:t>n for</w:t>
      </w:r>
      <w:r w:rsidR="00A1587E">
        <w:rPr>
          <w:lang w:val="en-GB" w:eastAsia="ja-JP"/>
        </w:rPr>
        <w:t xml:space="preserve"> </w:t>
      </w:r>
      <w:r w:rsidR="000A34EB">
        <w:rPr>
          <w:lang w:val="en-GB" w:eastAsia="ja-JP"/>
        </w:rPr>
        <w:t>LTE SL subchannels without PSFCH resources</w:t>
      </w:r>
      <w:r w:rsidR="00DA4B55">
        <w:rPr>
          <w:lang w:val="en-GB" w:eastAsia="ja-JP"/>
        </w:rPr>
        <w:t>, then</w:t>
      </w:r>
      <w:r w:rsidR="004D0CF2">
        <w:rPr>
          <w:lang w:val="en-GB" w:eastAsia="ja-JP"/>
        </w:rPr>
        <w:t xml:space="preserve"> LTE SL UE excludes those resources for its</w:t>
      </w:r>
      <w:r w:rsidR="001B5A61">
        <w:rPr>
          <w:lang w:val="en-GB" w:eastAsia="ja-JP"/>
        </w:rPr>
        <w:t xml:space="preserve"> </w:t>
      </w:r>
      <w:r w:rsidR="0039641F">
        <w:rPr>
          <w:lang w:val="en-GB" w:eastAsia="ja-JP"/>
        </w:rPr>
        <w:t>transmission.</w:t>
      </w:r>
    </w:p>
    <w:p w14:paraId="401F6AA2" w14:textId="4442E0EC" w:rsidR="001E07FA" w:rsidRDefault="002B7518">
      <w:pPr>
        <w:jc w:val="center"/>
      </w:pPr>
      <w:r>
        <w:rPr>
          <w:noProof/>
        </w:rPr>
        <w:drawing>
          <wp:inline distT="0" distB="0" distL="0" distR="0" wp14:anchorId="42F023E2" wp14:editId="59C6D096">
            <wp:extent cx="5044550" cy="2327189"/>
            <wp:effectExtent l="0" t="0" r="3810"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5058589" cy="2333666"/>
                    </a:xfrm>
                    <a:prstGeom prst="rect">
                      <a:avLst/>
                    </a:prstGeom>
                    <a:noFill/>
                  </pic:spPr>
                </pic:pic>
              </a:graphicData>
            </a:graphic>
          </wp:inline>
        </w:drawing>
      </w:r>
    </w:p>
    <w:p w14:paraId="6C0A4F86" w14:textId="70238E55" w:rsidR="00C633DF" w:rsidRPr="00F52BEA" w:rsidRDefault="00C633DF" w:rsidP="0061414F">
      <w:pPr>
        <w:pStyle w:val="Caption"/>
        <w:jc w:val="center"/>
      </w:pPr>
      <w:bookmarkStart w:id="30" w:name="_Ref115250616"/>
      <w:r>
        <w:t xml:space="preserve">Figure </w:t>
      </w:r>
      <w:r>
        <w:fldChar w:fldCharType="begin"/>
      </w:r>
      <w:r>
        <w:instrText xml:space="preserve"> SEQ Figure \* ARABIC </w:instrText>
      </w:r>
      <w:r>
        <w:fldChar w:fldCharType="separate"/>
      </w:r>
      <w:r w:rsidR="007D4CAC">
        <w:rPr>
          <w:noProof/>
        </w:rPr>
        <w:t>2</w:t>
      </w:r>
      <w:r>
        <w:fldChar w:fldCharType="end"/>
      </w:r>
      <w:bookmarkEnd w:id="30"/>
      <w:r w:rsidR="00A5061D">
        <w:t>.</w:t>
      </w:r>
      <w:r>
        <w:t xml:space="preserve"> </w:t>
      </w:r>
      <w:r w:rsidR="00CA305A" w:rsidRPr="0009006D">
        <w:rPr>
          <w:bCs/>
        </w:rPr>
        <w:t xml:space="preserve">Configuration of NR </w:t>
      </w:r>
      <w:proofErr w:type="spellStart"/>
      <w:r w:rsidR="00CA305A" w:rsidRPr="0009006D">
        <w:rPr>
          <w:bCs/>
        </w:rPr>
        <w:t>sidelink</w:t>
      </w:r>
      <w:proofErr w:type="spellEnd"/>
      <w:r w:rsidR="00CA305A" w:rsidRPr="0009006D">
        <w:rPr>
          <w:bCs/>
        </w:rPr>
        <w:t xml:space="preserve"> </w:t>
      </w:r>
      <w:r w:rsidR="00A5061D">
        <w:t xml:space="preserve">such that </w:t>
      </w:r>
      <w:r w:rsidR="00CA305A" w:rsidRPr="0009006D">
        <w:rPr>
          <w:bCs/>
        </w:rPr>
        <w:t xml:space="preserve">for each of the LTE subchannels (LTE-1, LTE-2, ...), there </w:t>
      </w:r>
      <w:r w:rsidR="00963440">
        <w:rPr>
          <w:bCs/>
        </w:rPr>
        <w:t xml:space="preserve">is </w:t>
      </w:r>
      <w:r w:rsidR="00CA305A" w:rsidRPr="0009006D">
        <w:rPr>
          <w:bCs/>
        </w:rPr>
        <w:t xml:space="preserve">one of the NR PSFCH </w:t>
      </w:r>
      <w:r w:rsidR="00963440" w:rsidRPr="0009006D">
        <w:rPr>
          <w:bCs/>
        </w:rPr>
        <w:t>resources</w:t>
      </w:r>
      <w:r w:rsidR="00CA305A" w:rsidRPr="00421621">
        <w:rPr>
          <w:bCs/>
        </w:rPr>
        <w:t>.</w:t>
      </w:r>
    </w:p>
    <w:p w14:paraId="2990488A" w14:textId="416807E8" w:rsidR="00C8722A" w:rsidRPr="00C8722A" w:rsidRDefault="00C8722A" w:rsidP="006742D0">
      <w:pPr>
        <w:pStyle w:val="Observation"/>
        <w:ind w:left="1701" w:hanging="1701"/>
      </w:pPr>
      <w:bookmarkStart w:id="31" w:name="_Toc118727583"/>
      <w:r>
        <w:t>To avoid proper operation of the sensing procedure and exclusion of all the LTE resources in subframes overlapping with NR slots with PSFCH resources it is important that RSSI measurements in all LTE sub-channels reflect the presence of PSFCH transmissions</w:t>
      </w:r>
      <w:r w:rsidR="00963440">
        <w:t>.</w:t>
      </w:r>
      <w:bookmarkEnd w:id="31"/>
    </w:p>
    <w:p w14:paraId="7688D15A" w14:textId="6E0D7BF2" w:rsidR="00191F1A" w:rsidRPr="00E264A8" w:rsidRDefault="00191F1A" w:rsidP="006742D0">
      <w:pPr>
        <w:pStyle w:val="Proposal"/>
      </w:pPr>
      <w:bookmarkStart w:id="32" w:name="_Toc118727558"/>
      <w:r>
        <w:t xml:space="preserve">RAN1 assumes that the NR resource pool configuration ensures that every </w:t>
      </w:r>
      <w:r w:rsidR="0001561E">
        <w:t>LTE sub-</w:t>
      </w:r>
      <w:r w:rsidR="00132F37">
        <w:t xml:space="preserve">overlaps in frequency with </w:t>
      </w:r>
      <w:r w:rsidR="009E368C">
        <w:t>PSFCH resources.</w:t>
      </w:r>
      <w:bookmarkEnd w:id="32"/>
    </w:p>
    <w:p w14:paraId="3C7681D5" w14:textId="49272F81" w:rsidR="00CF2BF8" w:rsidRDefault="00040C68" w:rsidP="00617D08">
      <w:pPr>
        <w:pStyle w:val="Heading5"/>
      </w:pPr>
      <w:r>
        <w:t>2</w:t>
      </w:r>
      <w:r w:rsidR="00A5590D">
        <w:t>.2.</w:t>
      </w:r>
      <w:r w:rsidR="00321EA3">
        <w:t>1.</w:t>
      </w:r>
      <w:r w:rsidR="00541566">
        <w:t>2.</w:t>
      </w:r>
      <w:r w:rsidR="00321EA3">
        <w:t>1</w:t>
      </w:r>
      <w:r w:rsidR="005862C7">
        <w:tab/>
      </w:r>
      <w:r w:rsidR="00E05242">
        <w:t xml:space="preserve">On the </w:t>
      </w:r>
      <w:r w:rsidR="006F6490">
        <w:t>m</w:t>
      </w:r>
      <w:r w:rsidR="00A13BC9">
        <w:t xml:space="preserve">ismatch between logical </w:t>
      </w:r>
      <w:r w:rsidR="00F458C9">
        <w:t>slots</w:t>
      </w:r>
      <w:r w:rsidR="00B4033C" w:rsidDel="006F6490">
        <w:t xml:space="preserve"> </w:t>
      </w:r>
      <w:r w:rsidR="00B4033C">
        <w:t xml:space="preserve">and physical </w:t>
      </w:r>
      <w:r w:rsidR="00F458C9">
        <w:t>time/slots</w:t>
      </w:r>
    </w:p>
    <w:p w14:paraId="4B693019" w14:textId="53F8B325" w:rsidR="009D49C5" w:rsidRDefault="0065228E" w:rsidP="00270662">
      <w:pPr>
        <w:spacing w:line="240" w:lineRule="auto"/>
        <w:contextualSpacing/>
        <w:jc w:val="both"/>
        <w:textAlignment w:val="baseline"/>
        <w:rPr>
          <w:rFonts w:cs="Arial"/>
          <w:szCs w:val="20"/>
          <w:lang w:val="en-GB" w:eastAsia="ja-JP"/>
        </w:rPr>
      </w:pPr>
      <w:r w:rsidRPr="00270662">
        <w:rPr>
          <w:rFonts w:cs="Arial"/>
          <w:szCs w:val="20"/>
          <w:lang w:val="en-GB" w:eastAsia="ja-JP"/>
        </w:rPr>
        <w:t>In the pr</w:t>
      </w:r>
      <w:r w:rsidR="00800288" w:rsidRPr="00270662">
        <w:rPr>
          <w:rFonts w:cs="Arial"/>
          <w:szCs w:val="20"/>
          <w:lang w:val="en-GB" w:eastAsia="ja-JP"/>
        </w:rPr>
        <w:t xml:space="preserve">evious </w:t>
      </w:r>
      <w:r w:rsidR="0082588C" w:rsidRPr="00270662">
        <w:rPr>
          <w:rFonts w:cs="Arial"/>
          <w:szCs w:val="20"/>
          <w:lang w:val="en-GB" w:eastAsia="ja-JP"/>
        </w:rPr>
        <w:t xml:space="preserve">meeting, there was </w:t>
      </w:r>
      <w:r w:rsidR="00FB0A73" w:rsidRPr="00270662">
        <w:rPr>
          <w:rFonts w:cs="Arial"/>
          <w:szCs w:val="20"/>
          <w:lang w:val="en-GB" w:eastAsia="ja-JP"/>
        </w:rPr>
        <w:t xml:space="preserve">a concern related to mapping between logical and physical </w:t>
      </w:r>
      <w:r w:rsidR="00A16EEF">
        <w:rPr>
          <w:rFonts w:cs="Arial"/>
          <w:szCs w:val="20"/>
          <w:lang w:val="en-GB" w:eastAsia="ja-JP"/>
        </w:rPr>
        <w:t>slots</w:t>
      </w:r>
      <w:r w:rsidR="00743F46" w:rsidRPr="00270662">
        <w:rPr>
          <w:rFonts w:cs="Arial"/>
          <w:szCs w:val="20"/>
          <w:lang w:val="en-GB" w:eastAsia="ja-JP"/>
        </w:rPr>
        <w:t xml:space="preserve"> and </w:t>
      </w:r>
      <w:r w:rsidR="00A13BC9" w:rsidRPr="00270662">
        <w:rPr>
          <w:rFonts w:cs="Arial"/>
          <w:szCs w:val="20"/>
          <w:lang w:val="en-GB" w:eastAsia="ja-JP"/>
        </w:rPr>
        <w:t xml:space="preserve">whether LTE </w:t>
      </w:r>
      <w:r w:rsidR="009D49C5">
        <w:rPr>
          <w:rFonts w:cs="Arial"/>
          <w:szCs w:val="20"/>
          <w:lang w:val="en-GB" w:eastAsia="ja-JP"/>
        </w:rPr>
        <w:t xml:space="preserve">SL </w:t>
      </w:r>
      <w:r w:rsidR="00A13BC9" w:rsidRPr="00270662">
        <w:rPr>
          <w:rFonts w:cs="Arial"/>
          <w:szCs w:val="20"/>
          <w:lang w:val="en-GB" w:eastAsia="ja-JP"/>
        </w:rPr>
        <w:t>by measuring RSSI can detect the PSFCH transmissions or not</w:t>
      </w:r>
      <w:r w:rsidR="009D49C5">
        <w:rPr>
          <w:rFonts w:cs="Arial"/>
          <w:szCs w:val="20"/>
          <w:lang w:val="en-GB" w:eastAsia="ja-JP"/>
        </w:rPr>
        <w:t>. This issue</w:t>
      </w:r>
      <w:r w:rsidR="00B07B56" w:rsidDel="009D49C5">
        <w:rPr>
          <w:rFonts w:cs="Arial"/>
          <w:szCs w:val="20"/>
          <w:lang w:val="en-GB" w:eastAsia="ja-JP"/>
        </w:rPr>
        <w:t xml:space="preserve"> </w:t>
      </w:r>
      <w:r w:rsidR="00B07B56">
        <w:rPr>
          <w:rFonts w:cs="Arial"/>
          <w:szCs w:val="20"/>
          <w:lang w:val="en-GB" w:eastAsia="ja-JP"/>
        </w:rPr>
        <w:t xml:space="preserve">is investigated in </w:t>
      </w:r>
      <w:r w:rsidR="00A13BC9">
        <w:rPr>
          <w:rFonts w:cs="Arial"/>
          <w:szCs w:val="20"/>
          <w:lang w:val="en-GB" w:eastAsia="ja-JP"/>
        </w:rPr>
        <w:t>this subsection</w:t>
      </w:r>
      <w:r w:rsidR="00A13BC9" w:rsidRPr="00270662">
        <w:rPr>
          <w:rFonts w:cs="Arial"/>
          <w:szCs w:val="20"/>
          <w:lang w:val="en-GB" w:eastAsia="ja-JP"/>
        </w:rPr>
        <w:t>.</w:t>
      </w:r>
      <w:r w:rsidR="00CC687A" w:rsidRPr="00270662">
        <w:rPr>
          <w:rFonts w:cs="Arial"/>
          <w:szCs w:val="20"/>
          <w:lang w:val="en-GB" w:eastAsia="ja-JP"/>
        </w:rPr>
        <w:t xml:space="preserve"> </w:t>
      </w:r>
    </w:p>
    <w:p w14:paraId="5B4183D0" w14:textId="4B59B45D" w:rsidR="004E040D" w:rsidRDefault="004240FD" w:rsidP="00270662">
      <w:pPr>
        <w:spacing w:line="240" w:lineRule="auto"/>
        <w:contextualSpacing/>
        <w:jc w:val="both"/>
        <w:textAlignment w:val="baseline"/>
        <w:rPr>
          <w:rFonts w:cs="Arial"/>
          <w:szCs w:val="20"/>
          <w:lang w:val="en-GB" w:eastAsia="ja-JP"/>
        </w:rPr>
      </w:pPr>
      <w:r w:rsidRPr="00270662">
        <w:rPr>
          <w:rFonts w:cs="Arial"/>
          <w:szCs w:val="20"/>
          <w:lang w:val="en-GB" w:eastAsia="ja-JP"/>
        </w:rPr>
        <w:lastRenderedPageBreak/>
        <w:t>To describe the problem let us denote</w:t>
      </w:r>
      <w:r w:rsidR="00816628">
        <w:rPr>
          <w:rFonts w:cs="Arial"/>
          <w:szCs w:val="20"/>
          <w:lang w:val="en-GB" w:eastAsia="ja-JP"/>
        </w:rPr>
        <w:t xml:space="preserve"> </w:t>
      </w:r>
      <w:r w:rsidR="00611026">
        <w:rPr>
          <w:rFonts w:cs="Arial"/>
          <w:szCs w:val="20"/>
          <w:lang w:val="en-GB" w:eastAsia="ja-JP"/>
        </w:rPr>
        <w:t>by</w:t>
      </w:r>
      <w:r w:rsidR="00517B98">
        <w:rPr>
          <w:rFonts w:cs="Arial"/>
          <w:szCs w:val="20"/>
          <w:lang w:val="en-GB" w:eastAsia="ja-JP"/>
        </w:rPr>
        <w:t xml:space="preserve"> </w:t>
      </w:r>
      <w:r w:rsidR="00816628" w:rsidRPr="00270662">
        <w:rPr>
          <w:rFonts w:cs="Arial"/>
          <w:szCs w:val="20"/>
          <w:lang w:val="en-GB" w:eastAsia="ja-JP"/>
        </w:rPr>
        <w:t xml:space="preserve"> </w:t>
      </w:r>
      <m:oMath>
        <m:d>
          <m:dPr>
            <m:ctrlPr>
              <w:rPr>
                <w:rFonts w:ascii="Cambria Math" w:hAnsi="Cambria Math" w:cs="Arial"/>
                <w:szCs w:val="20"/>
                <w:lang w:val="en-GB" w:eastAsia="ja-JP"/>
              </w:rPr>
            </m:ctrlPr>
          </m:dPr>
          <m:e>
            <m:sSubSup>
              <m:sSubSupPr>
                <m:ctrlPr>
                  <w:rPr>
                    <w:rFonts w:ascii="Cambria Math" w:hAnsi="Cambria Math" w:cs="Arial"/>
                    <w:szCs w:val="20"/>
                    <w:lang w:val="en-GB" w:eastAsia="ja-JP"/>
                  </w:rPr>
                </m:ctrlPr>
              </m:sSubSupPr>
              <m:e>
                <m:r>
                  <w:rPr>
                    <w:rFonts w:ascii="Cambria Math" w:hAnsi="Cambria Math" w:cs="Arial"/>
                    <w:szCs w:val="20"/>
                    <w:lang w:val="en-GB" w:eastAsia="ja-JP"/>
                  </w:rPr>
                  <m:t>t</m:t>
                </m:r>
              </m:e>
              <m:sub>
                <m:r>
                  <m:rPr>
                    <m:sty m:val="p"/>
                  </m:rPr>
                  <w:rPr>
                    <w:rFonts w:ascii="Cambria Math" w:hAnsi="Cambria Math" w:cs="Arial"/>
                    <w:szCs w:val="20"/>
                    <w:lang w:val="en-GB" w:eastAsia="ja-JP"/>
                  </w:rPr>
                  <m:t>0</m:t>
                </m:r>
              </m:sub>
              <m:sup>
                <m:r>
                  <m:rPr>
                    <m:sty m:val="p"/>
                  </m:rPr>
                  <w:rPr>
                    <w:rFonts w:ascii="Cambria Math" w:hAnsi="Cambria Math" w:cs="Arial"/>
                    <w:szCs w:val="20"/>
                    <w:lang w:val="en-GB" w:eastAsia="ja-JP"/>
                  </w:rPr>
                  <m:t>SL</m:t>
                </m:r>
              </m:sup>
            </m:sSubSup>
            <m:r>
              <m:rPr>
                <m:sty m:val="p"/>
              </m:rPr>
              <w:rPr>
                <w:rFonts w:ascii="Cambria Math" w:hAnsi="Cambria Math" w:cs="Arial"/>
                <w:szCs w:val="20"/>
                <w:lang w:val="en-GB" w:eastAsia="ja-JP"/>
              </w:rPr>
              <m:t>, </m:t>
            </m:r>
            <m:sSubSup>
              <m:sSubSupPr>
                <m:ctrlPr>
                  <w:rPr>
                    <w:rFonts w:ascii="Cambria Math" w:hAnsi="Cambria Math" w:cs="Arial"/>
                    <w:szCs w:val="20"/>
                    <w:lang w:val="en-GB" w:eastAsia="ja-JP"/>
                  </w:rPr>
                </m:ctrlPr>
              </m:sSubSupPr>
              <m:e>
                <m:r>
                  <w:rPr>
                    <w:rFonts w:ascii="Cambria Math" w:hAnsi="Cambria Math" w:cs="Arial"/>
                    <w:szCs w:val="20"/>
                    <w:lang w:val="en-GB" w:eastAsia="ja-JP"/>
                  </w:rPr>
                  <m:t>t</m:t>
                </m:r>
              </m:e>
              <m:sub>
                <m:r>
                  <m:rPr>
                    <m:sty m:val="p"/>
                  </m:rPr>
                  <w:rPr>
                    <w:rFonts w:ascii="Cambria Math" w:hAnsi="Cambria Math" w:cs="Arial"/>
                    <w:szCs w:val="20"/>
                    <w:lang w:val="en-GB" w:eastAsia="ja-JP"/>
                  </w:rPr>
                  <m:t>1</m:t>
                </m:r>
              </m:sub>
              <m:sup>
                <m:r>
                  <m:rPr>
                    <m:sty m:val="p"/>
                  </m:rPr>
                  <w:rPr>
                    <w:rFonts w:ascii="Cambria Math" w:hAnsi="Cambria Math" w:cs="Arial"/>
                    <w:szCs w:val="20"/>
                    <w:lang w:val="en-GB" w:eastAsia="ja-JP"/>
                  </w:rPr>
                  <m:t>SL</m:t>
                </m:r>
              </m:sup>
            </m:sSubSup>
            <m:r>
              <m:rPr>
                <m:sty m:val="p"/>
              </m:rPr>
              <w:rPr>
                <w:rFonts w:ascii="Cambria Math" w:hAnsi="Cambria Math" w:cs="Arial"/>
                <w:szCs w:val="20"/>
                <w:lang w:val="en-GB" w:eastAsia="ja-JP"/>
              </w:rPr>
              <m:t>, …, </m:t>
            </m:r>
            <m:sSubSup>
              <m:sSubSupPr>
                <m:ctrlPr>
                  <w:rPr>
                    <w:rFonts w:ascii="Cambria Math" w:hAnsi="Cambria Math" w:cs="Arial"/>
                    <w:szCs w:val="20"/>
                    <w:lang w:val="en-GB" w:eastAsia="ja-JP"/>
                  </w:rPr>
                </m:ctrlPr>
              </m:sSubSupPr>
              <m:e>
                <m:r>
                  <w:rPr>
                    <w:rFonts w:ascii="Cambria Math" w:hAnsi="Cambria Math" w:cs="Arial"/>
                    <w:szCs w:val="20"/>
                    <w:lang w:val="en-GB" w:eastAsia="ja-JP"/>
                  </w:rPr>
                  <m:t>t</m:t>
                </m:r>
              </m:e>
              <m:sub>
                <m:sSub>
                  <m:sSubPr>
                    <m:ctrlPr>
                      <w:rPr>
                        <w:rFonts w:ascii="Cambria Math" w:hAnsi="Cambria Math" w:cs="Arial"/>
                        <w:szCs w:val="20"/>
                        <w:lang w:val="en-GB" w:eastAsia="ja-JP"/>
                      </w:rPr>
                    </m:ctrlPr>
                  </m:sSubPr>
                  <m:e>
                    <m:r>
                      <w:rPr>
                        <w:rFonts w:ascii="Cambria Math" w:hAnsi="Cambria Math" w:cs="Arial"/>
                        <w:szCs w:val="20"/>
                        <w:lang w:val="en-GB" w:eastAsia="ja-JP"/>
                      </w:rPr>
                      <m:t>T</m:t>
                    </m:r>
                  </m:e>
                  <m:sub>
                    <m:r>
                      <m:rPr>
                        <m:sty m:val="p"/>
                      </m:rPr>
                      <w:rPr>
                        <w:rFonts w:ascii="Cambria Math" w:hAnsi="Cambria Math" w:cs="Arial"/>
                        <w:szCs w:val="20"/>
                        <w:lang w:val="en-GB" w:eastAsia="ja-JP"/>
                      </w:rPr>
                      <m:t>max</m:t>
                    </m:r>
                  </m:sub>
                </m:sSub>
              </m:sub>
              <m:sup>
                <m:r>
                  <m:rPr>
                    <m:sty m:val="p"/>
                  </m:rPr>
                  <w:rPr>
                    <w:rFonts w:ascii="Cambria Math" w:hAnsi="Cambria Math" w:cs="Arial"/>
                    <w:szCs w:val="20"/>
                    <w:lang w:val="en-GB" w:eastAsia="ja-JP"/>
                  </w:rPr>
                  <m:t>SL</m:t>
                </m:r>
              </m:sup>
            </m:sSubSup>
          </m:e>
        </m:d>
      </m:oMath>
      <w:r w:rsidR="00816628" w:rsidRPr="00270662">
        <w:rPr>
          <w:rFonts w:cs="Arial"/>
          <w:szCs w:val="20"/>
          <w:lang w:val="en-GB" w:eastAsia="ja-JP"/>
        </w:rPr>
        <w:t xml:space="preserve"> the set of subframes that may belong to a PSSCH resource pool for LTE SL transmission, which do not include SLSS and reserved subframes and hence not contiguous in time domain</w:t>
      </w:r>
      <w:r w:rsidR="005B55A4" w:rsidRPr="00270662">
        <w:rPr>
          <w:rFonts w:cs="Arial"/>
          <w:szCs w:val="20"/>
          <w:lang w:val="en-GB" w:eastAsia="ja-JP"/>
        </w:rPr>
        <w:t>.</w:t>
      </w:r>
      <w:r w:rsidRPr="00270662">
        <w:rPr>
          <w:rFonts w:cs="Arial"/>
          <w:szCs w:val="20"/>
          <w:lang w:val="en-GB" w:eastAsia="ja-JP"/>
        </w:rPr>
        <w:t xml:space="preserve"> </w:t>
      </w:r>
      <w:r w:rsidR="004239C4" w:rsidRPr="00270662">
        <w:rPr>
          <w:rFonts w:cs="Arial"/>
          <w:szCs w:val="20"/>
          <w:lang w:val="en-GB" w:eastAsia="ja-JP"/>
        </w:rPr>
        <w:t xml:space="preserve">RSSI detection is performed according to </w:t>
      </w:r>
      <m:oMath>
        <m:sSubSup>
          <m:sSubSupPr>
            <m:ctrlPr>
              <w:rPr>
                <w:rFonts w:ascii="Cambria Math" w:hAnsi="Cambria Math" w:cs="Arial"/>
                <w:szCs w:val="20"/>
                <w:lang w:val="en-GB" w:eastAsia="ja-JP"/>
              </w:rPr>
            </m:ctrlPr>
          </m:sSubSupPr>
          <m:e>
            <m:r>
              <w:rPr>
                <w:rFonts w:ascii="Cambria Math" w:hAnsi="Cambria Math" w:cs="Arial"/>
                <w:szCs w:val="20"/>
                <w:lang w:val="en-GB" w:eastAsia="ja-JP"/>
              </w:rPr>
              <m:t>t</m:t>
            </m:r>
          </m:e>
          <m:sub>
            <m:sSub>
              <m:sSubPr>
                <m:ctrlPr>
                  <w:rPr>
                    <w:rFonts w:ascii="Cambria Math" w:hAnsi="Cambria Math" w:cs="Arial"/>
                    <w:szCs w:val="20"/>
                    <w:lang w:val="en-GB" w:eastAsia="ja-JP"/>
                  </w:rPr>
                </m:ctrlPr>
              </m:sSubPr>
              <m:e>
                <m:r>
                  <w:rPr>
                    <w:rFonts w:ascii="Cambria Math" w:hAnsi="Cambria Math" w:cs="Arial"/>
                    <w:szCs w:val="20"/>
                    <w:lang w:val="en-GB" w:eastAsia="ja-JP"/>
                  </w:rPr>
                  <m:t>y</m:t>
                </m:r>
                <m:r>
                  <m:rPr>
                    <m:sty m:val="p"/>
                  </m:rPr>
                  <w:rPr>
                    <w:rFonts w:ascii="Cambria Math" w:hAnsi="Cambria Math" w:cs="Arial"/>
                    <w:szCs w:val="20"/>
                    <w:lang w:val="en-GB" w:eastAsia="ja-JP"/>
                  </w:rPr>
                  <m:t>- </m:t>
                </m:r>
                <m:r>
                  <w:rPr>
                    <w:rFonts w:ascii="Cambria Math" w:hAnsi="Cambria Math" w:cs="Arial"/>
                    <w:szCs w:val="20"/>
                    <w:lang w:val="en-GB" w:eastAsia="ja-JP"/>
                  </w:rPr>
                  <m:t>P</m:t>
                </m:r>
              </m:e>
              <m:sub>
                <m:r>
                  <m:rPr>
                    <m:sty m:val="p"/>
                  </m:rPr>
                  <w:rPr>
                    <w:rFonts w:ascii="Cambria Math" w:hAnsi="Cambria Math" w:cs="Arial"/>
                    <w:szCs w:val="20"/>
                    <w:lang w:val="en-GB" w:eastAsia="ja-JP"/>
                  </w:rPr>
                  <m:t>step</m:t>
                </m:r>
              </m:sub>
            </m:sSub>
            <m:r>
              <m:rPr>
                <m:sty m:val="p"/>
              </m:rPr>
              <w:rPr>
                <w:rFonts w:ascii="Cambria Math" w:hAnsi="Cambria Math" w:cs="Arial"/>
                <w:szCs w:val="20"/>
                <w:lang w:val="en-GB" w:eastAsia="ja-JP"/>
              </w:rPr>
              <m:t>*</m:t>
            </m:r>
            <m:r>
              <w:rPr>
                <w:rFonts w:ascii="Cambria Math" w:hAnsi="Cambria Math" w:cs="Arial"/>
                <w:szCs w:val="20"/>
                <w:lang w:val="en-GB" w:eastAsia="ja-JP"/>
              </w:rPr>
              <m:t>j</m:t>
            </m:r>
          </m:sub>
          <m:sup>
            <m:r>
              <m:rPr>
                <m:sty m:val="p"/>
              </m:rPr>
              <w:rPr>
                <w:rFonts w:ascii="Cambria Math" w:hAnsi="Cambria Math" w:cs="Arial"/>
                <w:szCs w:val="20"/>
                <w:lang w:val="en-GB" w:eastAsia="ja-JP"/>
              </w:rPr>
              <m:t>SL</m:t>
            </m:r>
          </m:sup>
        </m:sSubSup>
      </m:oMath>
      <w:r w:rsidR="004239C4" w:rsidRPr="00270662">
        <w:rPr>
          <w:rFonts w:cs="Arial"/>
          <w:szCs w:val="20"/>
          <w:lang w:val="en-GB" w:eastAsia="ja-JP"/>
        </w:rPr>
        <w:t xml:space="preserve"> and </w:t>
      </w:r>
      <m:oMath>
        <m:r>
          <m:rPr>
            <m:sty m:val="p"/>
          </m:rPr>
          <w:rPr>
            <w:rFonts w:ascii="Cambria Math" w:hAnsi="Cambria Math" w:cs="Arial"/>
            <w:szCs w:val="20"/>
            <w:lang w:val="en-GB" w:eastAsia="ja-JP"/>
          </w:rPr>
          <m:t>Pstep</m:t>
        </m:r>
      </m:oMath>
      <w:r w:rsidR="004239C4" w:rsidRPr="00321EA3">
        <w:rPr>
          <w:rFonts w:cs="Arial"/>
          <w:szCs w:val="20"/>
          <w:lang w:val="en-GB" w:eastAsia="ja-JP"/>
        </w:rPr>
        <w:t xml:space="preserve"> = 100 in ITS band. But the gap is not always equal to 100 </w:t>
      </w:r>
      <w:proofErr w:type="spellStart"/>
      <w:r w:rsidR="004239C4" w:rsidRPr="00321EA3">
        <w:rPr>
          <w:rFonts w:cs="Arial"/>
          <w:szCs w:val="20"/>
          <w:lang w:val="en-GB" w:eastAsia="ja-JP"/>
        </w:rPr>
        <w:t>ms</w:t>
      </w:r>
      <w:proofErr w:type="spellEnd"/>
      <w:r w:rsidR="004239C4" w:rsidRPr="00321EA3">
        <w:rPr>
          <w:rFonts w:cs="Arial"/>
          <w:szCs w:val="20"/>
          <w:lang w:val="en-GB" w:eastAsia="ja-JP"/>
        </w:rPr>
        <w:t xml:space="preserve"> (</w:t>
      </w:r>
      <w:r w:rsidR="00702015" w:rsidRPr="00321EA3">
        <w:rPr>
          <w:rFonts w:cs="Arial"/>
          <w:szCs w:val="20"/>
          <w:lang w:val="en-GB" w:eastAsia="ja-JP"/>
        </w:rPr>
        <w:t>can</w:t>
      </w:r>
      <w:r w:rsidR="004239C4" w:rsidRPr="00321EA3">
        <w:rPr>
          <w:rFonts w:cs="Arial"/>
          <w:szCs w:val="20"/>
          <w:lang w:val="en-GB" w:eastAsia="ja-JP"/>
        </w:rPr>
        <w:t xml:space="preserve"> be larger or smaller) due to the SLSS and reserved subframes</w:t>
      </w:r>
      <w:r w:rsidR="008F798B" w:rsidRPr="00321EA3">
        <w:rPr>
          <w:rFonts w:cs="Arial"/>
          <w:szCs w:val="20"/>
          <w:lang w:val="en-GB" w:eastAsia="ja-JP"/>
        </w:rPr>
        <w:t xml:space="preserve"> that</w:t>
      </w:r>
      <w:r w:rsidR="004239C4" w:rsidRPr="00270662">
        <w:rPr>
          <w:rFonts w:cs="Arial"/>
          <w:szCs w:val="20"/>
          <w:lang w:val="en-GB" w:eastAsia="ja-JP"/>
        </w:rPr>
        <w:t xml:space="preserve"> are not accounted.</w:t>
      </w:r>
      <w:r w:rsidR="004E040D" w:rsidRPr="00321EA3">
        <w:rPr>
          <w:rFonts w:cs="Arial"/>
          <w:szCs w:val="20"/>
          <w:lang w:val="en-GB" w:eastAsia="ja-JP"/>
        </w:rPr>
        <w:t xml:space="preserve"> </w:t>
      </w:r>
      <w:r w:rsidR="004E040D" w:rsidRPr="00270662">
        <w:rPr>
          <w:rFonts w:cs="Arial"/>
          <w:szCs w:val="20"/>
          <w:lang w:val="en-GB" w:eastAsia="ja-JP"/>
        </w:rPr>
        <w:t>Similar situation occurs in NR SL as the slots for SLSS</w:t>
      </w:r>
      <w:r w:rsidR="00D161C0">
        <w:rPr>
          <w:rFonts w:cs="Arial"/>
          <w:szCs w:val="20"/>
          <w:lang w:val="en-GB" w:eastAsia="ja-JP"/>
        </w:rPr>
        <w:t xml:space="preserve"> and</w:t>
      </w:r>
      <w:r w:rsidR="004E040D" w:rsidRPr="00270662">
        <w:rPr>
          <w:rFonts w:cs="Arial"/>
          <w:szCs w:val="20"/>
          <w:lang w:val="en-GB" w:eastAsia="ja-JP"/>
        </w:rPr>
        <w:t xml:space="preserve"> reserved slots are not accounted. </w:t>
      </w:r>
      <w:r w:rsidR="002F3DD8" w:rsidRPr="002F3DD8">
        <w:rPr>
          <w:rFonts w:cs="Arial"/>
          <w:szCs w:val="20"/>
          <w:lang w:val="en-GB" w:eastAsia="ja-JP"/>
        </w:rPr>
        <w:t xml:space="preserve">Altogether, the periodic relationship between PSFCH resources in NR and resources used for RSSI detection in LTE is not </w:t>
      </w:r>
      <w:r w:rsidR="00F4423C">
        <w:rPr>
          <w:rFonts w:cs="Arial"/>
          <w:szCs w:val="20"/>
          <w:lang w:val="en-GB" w:eastAsia="ja-JP"/>
        </w:rPr>
        <w:t xml:space="preserve">always </w:t>
      </w:r>
      <w:r w:rsidR="002F3DD8" w:rsidRPr="002F3DD8">
        <w:rPr>
          <w:rFonts w:cs="Arial"/>
          <w:szCs w:val="20"/>
          <w:lang w:val="en-GB" w:eastAsia="ja-JP"/>
        </w:rPr>
        <w:t xml:space="preserve">guaranteed when they operate on different scales of logical </w:t>
      </w:r>
      <w:r w:rsidR="00562800">
        <w:rPr>
          <w:rFonts w:cs="Arial"/>
          <w:szCs w:val="20"/>
          <w:lang w:val="en-GB" w:eastAsia="ja-JP"/>
        </w:rPr>
        <w:t>slots</w:t>
      </w:r>
      <w:r w:rsidR="002F3DD8" w:rsidRPr="002F3DD8">
        <w:rPr>
          <w:rFonts w:cs="Arial"/>
          <w:szCs w:val="20"/>
          <w:lang w:val="en-GB" w:eastAsia="ja-JP"/>
        </w:rPr>
        <w:t xml:space="preserve"> than in physical </w:t>
      </w:r>
      <w:r w:rsidR="00562800">
        <w:rPr>
          <w:rFonts w:cs="Arial"/>
          <w:szCs w:val="20"/>
          <w:lang w:val="en-GB" w:eastAsia="ja-JP"/>
        </w:rPr>
        <w:t>slots</w:t>
      </w:r>
      <w:r w:rsidR="002F3DD8" w:rsidRPr="00321EA3">
        <w:rPr>
          <w:rFonts w:cs="Arial"/>
          <w:szCs w:val="20"/>
          <w:lang w:val="en-GB" w:eastAsia="ja-JP"/>
        </w:rPr>
        <w:t>.</w:t>
      </w:r>
      <w:r w:rsidR="00E95369" w:rsidRPr="00321EA3">
        <w:rPr>
          <w:rFonts w:cs="Arial"/>
          <w:szCs w:val="20"/>
          <w:lang w:val="en-GB" w:eastAsia="ja-JP"/>
        </w:rPr>
        <w:t xml:space="preserve"> </w:t>
      </w:r>
      <w:r w:rsidR="00AE1520" w:rsidRPr="00321EA3">
        <w:rPr>
          <w:rFonts w:cs="Arial"/>
          <w:szCs w:val="20"/>
          <w:lang w:val="en-GB" w:eastAsia="ja-JP"/>
        </w:rPr>
        <w:fldChar w:fldCharType="begin"/>
      </w:r>
      <w:r w:rsidR="00AE1520" w:rsidRPr="00321EA3">
        <w:rPr>
          <w:rFonts w:cs="Arial"/>
          <w:szCs w:val="20"/>
          <w:lang w:val="en-GB" w:eastAsia="ja-JP"/>
        </w:rPr>
        <w:instrText xml:space="preserve"> REF _Ref118464524 \h </w:instrText>
      </w:r>
      <w:r w:rsidR="00DE7509" w:rsidRPr="00321EA3">
        <w:rPr>
          <w:rFonts w:cs="Arial"/>
          <w:szCs w:val="20"/>
          <w:lang w:val="en-GB" w:eastAsia="ja-JP"/>
        </w:rPr>
        <w:instrText xml:space="preserve"> \* MERGEFORMAT </w:instrText>
      </w:r>
      <w:r w:rsidR="00AE1520" w:rsidRPr="00321EA3">
        <w:rPr>
          <w:rFonts w:cs="Arial"/>
          <w:szCs w:val="20"/>
          <w:lang w:val="en-GB" w:eastAsia="ja-JP"/>
        </w:rPr>
      </w:r>
      <w:r w:rsidR="00AE1520" w:rsidRPr="00321EA3">
        <w:rPr>
          <w:rFonts w:cs="Arial"/>
          <w:szCs w:val="20"/>
          <w:lang w:val="en-GB" w:eastAsia="ja-JP"/>
        </w:rPr>
        <w:fldChar w:fldCharType="separate"/>
      </w:r>
      <w:r w:rsidR="00AE1520" w:rsidRPr="00321EA3">
        <w:rPr>
          <w:rFonts w:cs="Arial"/>
        </w:rPr>
        <w:t xml:space="preserve">Figure </w:t>
      </w:r>
      <w:r w:rsidR="00AE1520" w:rsidRPr="00321EA3">
        <w:rPr>
          <w:rFonts w:cs="Arial"/>
          <w:noProof/>
        </w:rPr>
        <w:t>3</w:t>
      </w:r>
      <w:r w:rsidR="00AE1520" w:rsidRPr="00321EA3">
        <w:rPr>
          <w:rFonts w:cs="Arial"/>
          <w:szCs w:val="20"/>
          <w:lang w:val="en-GB" w:eastAsia="ja-JP"/>
        </w:rPr>
        <w:fldChar w:fldCharType="end"/>
      </w:r>
      <w:r w:rsidR="00AE1520">
        <w:rPr>
          <w:rFonts w:cs="Arial"/>
          <w:szCs w:val="20"/>
          <w:lang w:val="en-GB" w:eastAsia="ja-JP"/>
        </w:rPr>
        <w:t xml:space="preserve"> </w:t>
      </w:r>
      <w:r w:rsidR="001106E3">
        <w:rPr>
          <w:rFonts w:cs="Arial"/>
          <w:szCs w:val="20"/>
          <w:lang w:val="en-GB" w:eastAsia="ja-JP"/>
        </w:rPr>
        <w:t>shows a</w:t>
      </w:r>
      <w:r w:rsidR="00DB6C0C">
        <w:rPr>
          <w:rFonts w:cs="Arial"/>
          <w:szCs w:val="20"/>
          <w:lang w:val="en-GB" w:eastAsia="ja-JP"/>
        </w:rPr>
        <w:t>n example where</w:t>
      </w:r>
      <w:r w:rsidR="001106E3" w:rsidDel="00DB6C0C">
        <w:rPr>
          <w:rFonts w:cs="Arial"/>
          <w:szCs w:val="20"/>
          <w:lang w:val="en-GB" w:eastAsia="ja-JP"/>
        </w:rPr>
        <w:t xml:space="preserve"> </w:t>
      </w:r>
      <w:r w:rsidR="00DB6C0C" w:rsidRPr="00321EA3">
        <w:rPr>
          <w:rFonts w:cs="Arial"/>
          <w:szCs w:val="20"/>
          <w:lang w:val="en-GB" w:eastAsia="ja-JP"/>
        </w:rPr>
        <w:t>the</w:t>
      </w:r>
      <w:r w:rsidR="001106E3" w:rsidRPr="00321EA3">
        <w:rPr>
          <w:rFonts w:cs="Arial"/>
          <w:szCs w:val="20"/>
          <w:lang w:val="en-GB" w:eastAsia="ja-JP"/>
        </w:rPr>
        <w:t xml:space="preserve"> mismatch</w:t>
      </w:r>
      <w:r w:rsidR="001106E3">
        <w:rPr>
          <w:rFonts w:cs="Arial"/>
          <w:szCs w:val="20"/>
          <w:lang w:val="en-GB" w:eastAsia="ja-JP"/>
        </w:rPr>
        <w:t xml:space="preserve"> between </w:t>
      </w:r>
      <w:r w:rsidR="002B403E">
        <w:rPr>
          <w:rFonts w:cs="Arial"/>
          <w:szCs w:val="20"/>
          <w:lang w:val="en-GB" w:eastAsia="ja-JP"/>
        </w:rPr>
        <w:t xml:space="preserve">logical and physical </w:t>
      </w:r>
      <w:r w:rsidR="00E967B7">
        <w:rPr>
          <w:rFonts w:cs="Arial"/>
          <w:szCs w:val="20"/>
          <w:lang w:val="en-GB" w:eastAsia="ja-JP"/>
        </w:rPr>
        <w:t>slots</w:t>
      </w:r>
      <w:r w:rsidR="00E967B7" w:rsidRPr="00321EA3">
        <w:rPr>
          <w:rFonts w:cs="Arial"/>
          <w:szCs w:val="20"/>
          <w:lang w:val="en-GB" w:eastAsia="ja-JP"/>
        </w:rPr>
        <w:t xml:space="preserve"> </w:t>
      </w:r>
      <w:r w:rsidR="00A30C06" w:rsidRPr="00321EA3">
        <w:rPr>
          <w:rFonts w:cs="Arial"/>
          <w:szCs w:val="20"/>
          <w:lang w:val="en-GB" w:eastAsia="ja-JP"/>
        </w:rPr>
        <w:t>makes</w:t>
      </w:r>
      <w:r w:rsidR="00A30C06">
        <w:rPr>
          <w:rFonts w:cs="Arial"/>
          <w:szCs w:val="20"/>
          <w:lang w:val="en-GB" w:eastAsia="ja-JP"/>
        </w:rPr>
        <w:t xml:space="preserve"> </w:t>
      </w:r>
      <w:r w:rsidR="002B1D8A">
        <w:rPr>
          <w:rFonts w:cs="Arial"/>
          <w:szCs w:val="20"/>
          <w:lang w:val="en-GB" w:eastAsia="ja-JP"/>
        </w:rPr>
        <w:t xml:space="preserve">it </w:t>
      </w:r>
      <w:r w:rsidR="00A30C06">
        <w:rPr>
          <w:rFonts w:cs="Arial"/>
          <w:szCs w:val="20"/>
          <w:lang w:val="en-GB" w:eastAsia="ja-JP"/>
        </w:rPr>
        <w:t>difficult</w:t>
      </w:r>
      <w:r w:rsidR="006C4E3D">
        <w:rPr>
          <w:rFonts w:cs="Arial"/>
          <w:szCs w:val="20"/>
          <w:lang w:val="en-GB" w:eastAsia="ja-JP"/>
        </w:rPr>
        <w:t xml:space="preserve"> for</w:t>
      </w:r>
      <w:r w:rsidR="002B403E" w:rsidDel="006C4E3D">
        <w:rPr>
          <w:rFonts w:cs="Arial"/>
          <w:szCs w:val="20"/>
          <w:lang w:val="en-GB" w:eastAsia="ja-JP"/>
        </w:rPr>
        <w:t xml:space="preserve"> </w:t>
      </w:r>
      <w:r w:rsidR="00835708">
        <w:rPr>
          <w:rFonts w:cs="Arial"/>
          <w:szCs w:val="20"/>
          <w:lang w:val="en-GB" w:eastAsia="ja-JP"/>
        </w:rPr>
        <w:t xml:space="preserve">LTE </w:t>
      </w:r>
      <w:r w:rsidR="000B491A">
        <w:rPr>
          <w:rFonts w:cs="Arial"/>
          <w:szCs w:val="20"/>
          <w:lang w:val="en-GB" w:eastAsia="ja-JP"/>
        </w:rPr>
        <w:t xml:space="preserve">SL </w:t>
      </w:r>
      <w:r w:rsidR="006C4E3D">
        <w:rPr>
          <w:rFonts w:cs="Arial"/>
          <w:szCs w:val="20"/>
          <w:lang w:val="en-GB" w:eastAsia="ja-JP"/>
        </w:rPr>
        <w:t xml:space="preserve">UE </w:t>
      </w:r>
      <w:r w:rsidR="002B1D8A" w:rsidRPr="00321EA3">
        <w:rPr>
          <w:rFonts w:cs="Arial"/>
          <w:szCs w:val="20"/>
          <w:lang w:val="en-GB" w:eastAsia="ja-JP"/>
        </w:rPr>
        <w:t xml:space="preserve">to </w:t>
      </w:r>
      <w:r w:rsidR="00835708" w:rsidRPr="00321EA3">
        <w:rPr>
          <w:rFonts w:cs="Arial"/>
          <w:szCs w:val="20"/>
          <w:lang w:val="en-GB" w:eastAsia="ja-JP"/>
        </w:rPr>
        <w:t xml:space="preserve">detect </w:t>
      </w:r>
      <w:r w:rsidR="006C4E3D">
        <w:rPr>
          <w:rFonts w:cs="Arial"/>
          <w:szCs w:val="20"/>
          <w:lang w:val="en-GB" w:eastAsia="ja-JP"/>
        </w:rPr>
        <w:t xml:space="preserve">PSFCH </w:t>
      </w:r>
      <w:r w:rsidR="00835708">
        <w:rPr>
          <w:rFonts w:cs="Arial"/>
          <w:szCs w:val="20"/>
          <w:lang w:val="en-GB" w:eastAsia="ja-JP"/>
        </w:rPr>
        <w:t xml:space="preserve">transmissions based on RSSI </w:t>
      </w:r>
      <w:r w:rsidR="006C4E3D" w:rsidRPr="00321EA3">
        <w:rPr>
          <w:rFonts w:cs="Arial"/>
          <w:szCs w:val="20"/>
          <w:lang w:val="en-GB" w:eastAsia="ja-JP"/>
        </w:rPr>
        <w:t>measurement</w:t>
      </w:r>
      <w:r w:rsidR="00125FC2">
        <w:rPr>
          <w:rFonts w:cs="Arial"/>
          <w:szCs w:val="20"/>
          <w:lang w:val="en-GB" w:eastAsia="ja-JP"/>
        </w:rPr>
        <w:t>, whereby third and fourth PSFCH slots</w:t>
      </w:r>
      <w:r w:rsidR="003B59BA">
        <w:rPr>
          <w:rFonts w:cs="Arial"/>
          <w:szCs w:val="20"/>
          <w:lang w:val="en-GB" w:eastAsia="ja-JP"/>
        </w:rPr>
        <w:t xml:space="preserve"> are </w:t>
      </w:r>
      <w:r w:rsidR="00125FC2">
        <w:rPr>
          <w:rFonts w:cs="Arial"/>
          <w:szCs w:val="20"/>
          <w:lang w:val="en-GB" w:eastAsia="ja-JP"/>
        </w:rPr>
        <w:t xml:space="preserve">perceived wrongly by the </w:t>
      </w:r>
      <w:r w:rsidR="00491D0A">
        <w:rPr>
          <w:rFonts w:cs="Arial"/>
          <w:szCs w:val="20"/>
          <w:lang w:val="en-GB" w:eastAsia="ja-JP"/>
        </w:rPr>
        <w:t xml:space="preserve">LTE </w:t>
      </w:r>
      <w:r w:rsidR="00125FC2">
        <w:rPr>
          <w:rFonts w:cs="Arial"/>
          <w:szCs w:val="20"/>
          <w:lang w:val="en-GB" w:eastAsia="ja-JP"/>
        </w:rPr>
        <w:t xml:space="preserve">SL </w:t>
      </w:r>
      <w:r w:rsidR="00491D0A">
        <w:rPr>
          <w:rFonts w:cs="Arial"/>
          <w:szCs w:val="20"/>
          <w:lang w:val="en-GB" w:eastAsia="ja-JP"/>
        </w:rPr>
        <w:t>UE</w:t>
      </w:r>
      <w:r w:rsidR="00835708" w:rsidRPr="00321EA3">
        <w:rPr>
          <w:rFonts w:cs="Arial"/>
          <w:szCs w:val="20"/>
          <w:lang w:val="en-GB" w:eastAsia="ja-JP"/>
        </w:rPr>
        <w:t>.</w:t>
      </w:r>
      <w:r w:rsidR="00F916D9" w:rsidRPr="00321EA3">
        <w:rPr>
          <w:rFonts w:cs="Arial"/>
          <w:szCs w:val="20"/>
          <w:lang w:val="en-GB" w:eastAsia="ja-JP"/>
        </w:rPr>
        <w:t xml:space="preserve"> </w:t>
      </w:r>
      <w:r w:rsidR="00E55059">
        <w:rPr>
          <w:rFonts w:cs="Arial"/>
          <w:szCs w:val="20"/>
          <w:lang w:val="en-GB" w:eastAsia="ja-JP"/>
        </w:rPr>
        <w:t>Specifically, in this example, PSFCH slots are aligned between</w:t>
      </w:r>
      <w:r w:rsidR="00E0152E">
        <w:rPr>
          <w:rFonts w:cs="Arial"/>
          <w:szCs w:val="20"/>
          <w:lang w:val="en-GB" w:eastAsia="ja-JP"/>
        </w:rPr>
        <w:t xml:space="preserve"> logical and physical slots before SLSS slot while misaligned after the insertion of SLSS. </w:t>
      </w:r>
    </w:p>
    <w:p w14:paraId="0C61741B" w14:textId="2E5A7D0A" w:rsidR="004E595E" w:rsidRPr="00270662" w:rsidRDefault="004E595E" w:rsidP="00616C36">
      <w:pPr>
        <w:spacing w:line="240" w:lineRule="auto"/>
        <w:contextualSpacing/>
        <w:textAlignment w:val="baseline"/>
        <w:rPr>
          <w:rFonts w:cs="Arial"/>
          <w:szCs w:val="20"/>
          <w:lang w:val="en-GB" w:eastAsia="ja-JP"/>
        </w:rPr>
      </w:pPr>
    </w:p>
    <w:p w14:paraId="4BE2BB94" w14:textId="643AB68C" w:rsidR="00DA47D1" w:rsidRDefault="00B224A8" w:rsidP="00B241EE">
      <w:pPr>
        <w:keepNext/>
        <w:spacing w:line="240" w:lineRule="auto"/>
        <w:contextualSpacing/>
        <w:jc w:val="center"/>
        <w:textAlignment w:val="baseline"/>
      </w:pPr>
      <w:r w:rsidRPr="00B224A8">
        <w:rPr>
          <w:noProof/>
        </w:rPr>
        <w:drawing>
          <wp:inline distT="0" distB="0" distL="0" distR="0" wp14:anchorId="5B4A3029" wp14:editId="4167459A">
            <wp:extent cx="5202090" cy="1963939"/>
            <wp:effectExtent l="0" t="0" r="0" b="0"/>
            <wp:docPr id="1" name="Picture 1" descr="Treemap 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reemap chart&#10;&#10;Description automatically generated with medium confidence"/>
                    <pic:cNvPicPr/>
                  </pic:nvPicPr>
                  <pic:blipFill>
                    <a:blip r:embed="rId70"/>
                    <a:stretch>
                      <a:fillRect/>
                    </a:stretch>
                  </pic:blipFill>
                  <pic:spPr>
                    <a:xfrm>
                      <a:off x="0" y="0"/>
                      <a:ext cx="5282823" cy="1994418"/>
                    </a:xfrm>
                    <a:prstGeom prst="rect">
                      <a:avLst/>
                    </a:prstGeom>
                  </pic:spPr>
                </pic:pic>
              </a:graphicData>
            </a:graphic>
          </wp:inline>
        </w:drawing>
      </w:r>
    </w:p>
    <w:p w14:paraId="076EBAB0" w14:textId="4E800705" w:rsidR="004239C4" w:rsidRDefault="00DA47D1" w:rsidP="009D1B9B">
      <w:pPr>
        <w:pStyle w:val="Caption"/>
        <w:jc w:val="both"/>
      </w:pPr>
      <w:bookmarkStart w:id="33" w:name="_Ref118464524"/>
      <w:r>
        <w:t xml:space="preserve">Figure </w:t>
      </w:r>
      <w:r>
        <w:fldChar w:fldCharType="begin"/>
      </w:r>
      <w:r>
        <w:instrText xml:space="preserve"> SEQ Figure \* ARABIC </w:instrText>
      </w:r>
      <w:r>
        <w:fldChar w:fldCharType="separate"/>
      </w:r>
      <w:r w:rsidR="007D4CAC">
        <w:rPr>
          <w:noProof/>
        </w:rPr>
        <w:t>3</w:t>
      </w:r>
      <w:r>
        <w:fldChar w:fldCharType="end"/>
      </w:r>
      <w:bookmarkEnd w:id="33"/>
      <w:r w:rsidR="009D49C5">
        <w:t>:</w:t>
      </w:r>
      <w:r w:rsidR="00714A2F">
        <w:t xml:space="preserve"> </w:t>
      </w:r>
      <w:r w:rsidR="009D1B9B">
        <w:t xml:space="preserve">Illustration of </w:t>
      </w:r>
      <w:r w:rsidR="009D49C5">
        <w:t xml:space="preserve">the </w:t>
      </w:r>
      <w:r w:rsidR="009D1B9B">
        <w:t>mismatch</w:t>
      </w:r>
      <w:r w:rsidR="00714A2F">
        <w:t xml:space="preserve"> between logical and physical </w:t>
      </w:r>
      <w:r w:rsidR="005E4BDA">
        <w:t>slots</w:t>
      </w:r>
      <w:r w:rsidR="009D1B9B">
        <w:t>, which</w:t>
      </w:r>
      <w:r w:rsidR="005E4BDA">
        <w:t xml:space="preserve"> </w:t>
      </w:r>
      <w:r w:rsidR="009D1B9B">
        <w:t>induces</w:t>
      </w:r>
      <w:r w:rsidR="00714A2F">
        <w:t xml:space="preserve"> a pr</w:t>
      </w:r>
      <w:r w:rsidR="00FF0B5C">
        <w:t>oblem in detecting periodic</w:t>
      </w:r>
      <w:r w:rsidR="005917C2">
        <w:t>ity of</w:t>
      </w:r>
      <w:r w:rsidR="00FF0B5C">
        <w:t xml:space="preserve"> PSFCH transmission</w:t>
      </w:r>
      <w:r w:rsidR="00C95423">
        <w:t xml:space="preserve">. PSFCH periodicity is set to 4 and two SLSS slots </w:t>
      </w:r>
      <w:r w:rsidR="009D49C5">
        <w:t xml:space="preserve">occur </w:t>
      </w:r>
      <w:r w:rsidR="00C95423">
        <w:t xml:space="preserve">per 160 </w:t>
      </w:r>
      <w:proofErr w:type="spellStart"/>
      <w:r w:rsidR="00C95423">
        <w:t>ms</w:t>
      </w:r>
      <w:proofErr w:type="spellEnd"/>
      <w:r w:rsidR="00C95423">
        <w:t xml:space="preserve"> interval.</w:t>
      </w:r>
    </w:p>
    <w:p w14:paraId="79C26378" w14:textId="77777777" w:rsidR="00E0152E" w:rsidRPr="00E0152E" w:rsidRDefault="00E0152E" w:rsidP="00E0152E">
      <w:pPr>
        <w:rPr>
          <w:lang w:eastAsia="en-GB"/>
        </w:rPr>
      </w:pPr>
    </w:p>
    <w:p w14:paraId="61BBBEB3" w14:textId="60D391E0" w:rsidR="00544FA4" w:rsidRDefault="00B241EE" w:rsidP="00B241EE">
      <w:pPr>
        <w:keepNext/>
        <w:jc w:val="center"/>
      </w:pPr>
      <w:r w:rsidRPr="00B241EE">
        <w:rPr>
          <w:noProof/>
        </w:rPr>
        <w:drawing>
          <wp:inline distT="0" distB="0" distL="0" distR="0" wp14:anchorId="48C5CE84" wp14:editId="1C4010DC">
            <wp:extent cx="5278931" cy="2160534"/>
            <wp:effectExtent l="0" t="0" r="0" b="0"/>
            <wp:docPr id="3" name="Picture 2" descr="A picture containing table&#10;&#10;Description automatically generated">
              <a:extLst xmlns:a="http://schemas.openxmlformats.org/drawingml/2006/main">
                <a:ext uri="{FF2B5EF4-FFF2-40B4-BE49-F238E27FC236}">
                  <a16:creationId xmlns:a16="http://schemas.microsoft.com/office/drawing/2014/main" id="{75ACB7A5-B881-6C9E-5F33-0B389F74EBC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picture containing table&#10;&#10;Description automatically generated">
                      <a:extLst>
                        <a:ext uri="{FF2B5EF4-FFF2-40B4-BE49-F238E27FC236}">
                          <a16:creationId xmlns:a16="http://schemas.microsoft.com/office/drawing/2014/main" id="{75ACB7A5-B881-6C9E-5F33-0B389F74EBCE}"/>
                        </a:ext>
                      </a:extLst>
                    </pic:cNvPr>
                    <pic:cNvPicPr>
                      <a:picLocks noChangeAspect="1"/>
                    </pic:cNvPicPr>
                  </pic:nvPicPr>
                  <pic:blipFill>
                    <a:blip r:embed="rId71"/>
                    <a:stretch>
                      <a:fillRect/>
                    </a:stretch>
                  </pic:blipFill>
                  <pic:spPr>
                    <a:xfrm>
                      <a:off x="0" y="0"/>
                      <a:ext cx="5335101" cy="2183523"/>
                    </a:xfrm>
                    <a:prstGeom prst="rect">
                      <a:avLst/>
                    </a:prstGeom>
                  </pic:spPr>
                </pic:pic>
              </a:graphicData>
            </a:graphic>
          </wp:inline>
        </w:drawing>
      </w:r>
    </w:p>
    <w:p w14:paraId="03AB563A" w14:textId="7EB13591" w:rsidR="00FF0B5C" w:rsidRPr="00FF0B5C" w:rsidRDefault="00544FA4" w:rsidP="00AE0579">
      <w:pPr>
        <w:pStyle w:val="Caption"/>
        <w:jc w:val="both"/>
      </w:pPr>
      <w:bookmarkStart w:id="34" w:name="_Ref118465462"/>
      <w:r>
        <w:t xml:space="preserve">Figure </w:t>
      </w:r>
      <w:r>
        <w:fldChar w:fldCharType="begin"/>
      </w:r>
      <w:r>
        <w:instrText xml:space="preserve"> SEQ Figure \* ARABIC </w:instrText>
      </w:r>
      <w:r>
        <w:fldChar w:fldCharType="separate"/>
      </w:r>
      <w:r w:rsidR="007D4CAC">
        <w:rPr>
          <w:noProof/>
        </w:rPr>
        <w:t>4</w:t>
      </w:r>
      <w:r>
        <w:fldChar w:fldCharType="end"/>
      </w:r>
      <w:bookmarkEnd w:id="34"/>
      <w:r w:rsidR="00C627F6">
        <w:t>:</w:t>
      </w:r>
      <w:r>
        <w:t xml:space="preserve"> </w:t>
      </w:r>
      <w:r w:rsidR="00246A31">
        <w:t xml:space="preserve">Illustration of </w:t>
      </w:r>
      <w:r w:rsidR="00C627F6">
        <w:t xml:space="preserve">the </w:t>
      </w:r>
      <w:r w:rsidR="00246A31">
        <w:t>mismatch</w:t>
      </w:r>
      <w:r>
        <w:t xml:space="preserve"> between logical and physical </w:t>
      </w:r>
      <w:r w:rsidR="00246A31">
        <w:t>slots</w:t>
      </w:r>
      <w:r>
        <w:t xml:space="preserve"> </w:t>
      </w:r>
      <w:r w:rsidR="00A328C6">
        <w:t xml:space="preserve">does not </w:t>
      </w:r>
      <w:r>
        <w:t>make a problem in detecting periodic PSFCH transmission</w:t>
      </w:r>
      <w:r w:rsidR="00AE0579">
        <w:t xml:space="preserve">. PSFCH periodicity is set to 2 and two SLSS slots </w:t>
      </w:r>
      <w:r w:rsidR="00C627F6">
        <w:t xml:space="preserve">occur </w:t>
      </w:r>
      <w:r w:rsidR="00AE0579">
        <w:t xml:space="preserve">per 160 </w:t>
      </w:r>
      <w:proofErr w:type="spellStart"/>
      <w:r w:rsidR="00AE0579">
        <w:t>ms</w:t>
      </w:r>
      <w:proofErr w:type="spellEnd"/>
      <w:r w:rsidR="00AE0579">
        <w:t xml:space="preserve"> interval.</w:t>
      </w:r>
    </w:p>
    <w:p w14:paraId="69E0E48F" w14:textId="0C2EA914" w:rsidR="00AF515A" w:rsidRDefault="00AF515A" w:rsidP="002A7934">
      <w:pPr>
        <w:jc w:val="both"/>
        <w:rPr>
          <w:rFonts w:cs="Arial"/>
          <w:szCs w:val="20"/>
          <w:lang w:val="en-GB" w:eastAsia="ja-JP"/>
        </w:rPr>
      </w:pPr>
      <w:r>
        <w:rPr>
          <w:lang w:eastAsia="en-GB"/>
        </w:rPr>
        <w:t xml:space="preserve">Next, we introduce another example </w:t>
      </w:r>
      <w:r w:rsidRPr="00321EA3">
        <w:rPr>
          <w:rFonts w:cs="Arial"/>
          <w:szCs w:val="20"/>
          <w:lang w:val="en-GB" w:eastAsia="ja-JP"/>
        </w:rPr>
        <w:t xml:space="preserve">in </w:t>
      </w:r>
      <w:r w:rsidRPr="00321EA3">
        <w:rPr>
          <w:rFonts w:cs="Arial"/>
          <w:szCs w:val="20"/>
          <w:lang w:val="en-GB" w:eastAsia="ja-JP"/>
        </w:rPr>
        <w:fldChar w:fldCharType="begin"/>
      </w:r>
      <w:r w:rsidRPr="00321EA3">
        <w:rPr>
          <w:rFonts w:cs="Arial"/>
          <w:szCs w:val="20"/>
          <w:lang w:val="en-GB" w:eastAsia="ja-JP"/>
        </w:rPr>
        <w:instrText xml:space="preserve"> REF _Ref118465462 \h  \* MERGEFORMAT </w:instrText>
      </w:r>
      <w:r w:rsidRPr="00321EA3">
        <w:rPr>
          <w:rFonts w:cs="Arial"/>
          <w:szCs w:val="20"/>
          <w:lang w:val="en-GB" w:eastAsia="ja-JP"/>
        </w:rPr>
      </w:r>
      <w:r w:rsidRPr="00321EA3">
        <w:rPr>
          <w:rFonts w:cs="Arial"/>
          <w:szCs w:val="20"/>
          <w:lang w:val="en-GB" w:eastAsia="ja-JP"/>
        </w:rPr>
        <w:fldChar w:fldCharType="separate"/>
      </w:r>
      <w:r w:rsidRPr="00321EA3">
        <w:rPr>
          <w:rFonts w:cs="Arial"/>
        </w:rPr>
        <w:t xml:space="preserve">Figure </w:t>
      </w:r>
      <w:r w:rsidRPr="00321EA3">
        <w:rPr>
          <w:rFonts w:cs="Arial"/>
          <w:noProof/>
        </w:rPr>
        <w:t>4</w:t>
      </w:r>
      <w:r w:rsidRPr="00321EA3">
        <w:rPr>
          <w:rFonts w:cs="Arial"/>
          <w:szCs w:val="20"/>
          <w:lang w:val="en-GB" w:eastAsia="ja-JP"/>
        </w:rPr>
        <w:fldChar w:fldCharType="end"/>
      </w:r>
      <w:r>
        <w:rPr>
          <w:lang w:val="en-GB" w:eastAsia="en-GB"/>
        </w:rPr>
        <w:t xml:space="preserve">, whereby </w:t>
      </w:r>
      <w:r w:rsidRPr="00321EA3">
        <w:rPr>
          <w:rFonts w:cs="Arial"/>
          <w:szCs w:val="20"/>
          <w:lang w:val="en-GB" w:eastAsia="ja-JP"/>
        </w:rPr>
        <w:t xml:space="preserve">LTE </w:t>
      </w:r>
      <w:r>
        <w:rPr>
          <w:rFonts w:cs="Arial"/>
          <w:szCs w:val="20"/>
          <w:lang w:val="en-GB" w:eastAsia="ja-JP"/>
        </w:rPr>
        <w:t xml:space="preserve">SL </w:t>
      </w:r>
      <w:r w:rsidRPr="00321EA3">
        <w:rPr>
          <w:rFonts w:cs="Arial"/>
          <w:szCs w:val="20"/>
          <w:lang w:val="en-GB" w:eastAsia="ja-JP"/>
        </w:rPr>
        <w:t xml:space="preserve">UE still </w:t>
      </w:r>
      <w:r>
        <w:rPr>
          <w:rFonts w:cs="Arial"/>
          <w:szCs w:val="20"/>
          <w:lang w:val="en-GB" w:eastAsia="ja-JP"/>
        </w:rPr>
        <w:t>be able to</w:t>
      </w:r>
      <w:r w:rsidRPr="00321EA3">
        <w:rPr>
          <w:rFonts w:cs="Arial"/>
          <w:szCs w:val="20"/>
          <w:lang w:val="en-GB" w:eastAsia="ja-JP"/>
        </w:rPr>
        <w:t xml:space="preserve"> detect periodic PSFCH transmissio</w:t>
      </w:r>
      <w:r>
        <w:rPr>
          <w:rFonts w:cs="Arial"/>
          <w:szCs w:val="20"/>
          <w:lang w:val="en-GB" w:eastAsia="ja-JP"/>
        </w:rPr>
        <w:t>n</w:t>
      </w:r>
      <w:r w:rsidRPr="00321EA3">
        <w:rPr>
          <w:rFonts w:cs="Arial"/>
          <w:szCs w:val="20"/>
          <w:lang w:val="en-GB" w:eastAsia="ja-JP"/>
        </w:rPr>
        <w:t>.</w:t>
      </w:r>
      <w:r>
        <w:rPr>
          <w:rFonts w:cs="Arial"/>
          <w:szCs w:val="20"/>
          <w:lang w:val="en-GB" w:eastAsia="ja-JP"/>
        </w:rPr>
        <w:t xml:space="preserve"> In this example, two SLSS slots are placed together </w:t>
      </w:r>
      <w:r w:rsidR="005F3472">
        <w:rPr>
          <w:rFonts w:cs="Arial"/>
          <w:szCs w:val="20"/>
          <w:lang w:val="en-GB" w:eastAsia="ja-JP"/>
        </w:rPr>
        <w:t xml:space="preserve">and PSFCH slots before </w:t>
      </w:r>
      <w:r w:rsidR="00455FA1">
        <w:rPr>
          <w:rFonts w:cs="Arial"/>
          <w:szCs w:val="20"/>
          <w:lang w:val="en-GB" w:eastAsia="ja-JP"/>
        </w:rPr>
        <w:t xml:space="preserve">the </w:t>
      </w:r>
      <w:r w:rsidR="005F3472">
        <w:rPr>
          <w:rFonts w:cs="Arial"/>
          <w:szCs w:val="20"/>
          <w:lang w:val="en-GB" w:eastAsia="ja-JP"/>
        </w:rPr>
        <w:t xml:space="preserve">SLSS slots </w:t>
      </w:r>
      <w:r w:rsidR="00455FA1">
        <w:rPr>
          <w:rFonts w:cs="Arial"/>
          <w:szCs w:val="20"/>
          <w:lang w:val="en-GB" w:eastAsia="ja-JP"/>
        </w:rPr>
        <w:t>and af</w:t>
      </w:r>
      <w:r w:rsidR="002A7934">
        <w:rPr>
          <w:rFonts w:cs="Arial"/>
          <w:szCs w:val="20"/>
          <w:lang w:val="en-GB" w:eastAsia="ja-JP"/>
        </w:rPr>
        <w:t>t</w:t>
      </w:r>
      <w:r w:rsidR="00455FA1">
        <w:rPr>
          <w:rFonts w:cs="Arial"/>
          <w:szCs w:val="20"/>
          <w:lang w:val="en-GB" w:eastAsia="ja-JP"/>
        </w:rPr>
        <w:t xml:space="preserve">er the SLSS slots </w:t>
      </w:r>
      <w:r w:rsidR="005F3472">
        <w:rPr>
          <w:rFonts w:cs="Arial"/>
          <w:szCs w:val="20"/>
          <w:lang w:val="en-GB" w:eastAsia="ja-JP"/>
        </w:rPr>
        <w:t>are aligned</w:t>
      </w:r>
      <w:r w:rsidR="00455FA1">
        <w:rPr>
          <w:rFonts w:cs="Arial"/>
          <w:szCs w:val="20"/>
          <w:lang w:val="en-GB" w:eastAsia="ja-JP"/>
        </w:rPr>
        <w:t xml:space="preserve">. </w:t>
      </w:r>
      <w:r w:rsidR="008C0B12">
        <w:rPr>
          <w:rFonts w:cs="Arial"/>
          <w:szCs w:val="20"/>
          <w:lang w:val="en-GB" w:eastAsia="ja-JP"/>
        </w:rPr>
        <w:t>One of the SLSS slots is perceived as a PSFCH slot by the LTE SL UE</w:t>
      </w:r>
      <w:r w:rsidR="00777EBF">
        <w:rPr>
          <w:rFonts w:cs="Arial"/>
          <w:szCs w:val="20"/>
          <w:lang w:val="en-GB" w:eastAsia="ja-JP"/>
        </w:rPr>
        <w:t xml:space="preserve">, which has no or minimum impact on the LTE sensing </w:t>
      </w:r>
      <w:r w:rsidR="00466CE3">
        <w:rPr>
          <w:rFonts w:cs="Arial"/>
          <w:szCs w:val="20"/>
          <w:lang w:val="en-GB" w:eastAsia="ja-JP"/>
        </w:rPr>
        <w:t xml:space="preserve">and detection of </w:t>
      </w:r>
      <w:r w:rsidR="00777EBF">
        <w:rPr>
          <w:rFonts w:cs="Arial"/>
          <w:szCs w:val="20"/>
          <w:lang w:val="en-GB" w:eastAsia="ja-JP"/>
        </w:rPr>
        <w:t>NL SL</w:t>
      </w:r>
      <w:r w:rsidR="00466CE3">
        <w:rPr>
          <w:rFonts w:cs="Arial"/>
          <w:szCs w:val="20"/>
          <w:lang w:val="en-GB" w:eastAsia="ja-JP"/>
        </w:rPr>
        <w:t xml:space="preserve"> PSFCH</w:t>
      </w:r>
      <w:r w:rsidR="00777EBF">
        <w:rPr>
          <w:rFonts w:cs="Arial"/>
          <w:szCs w:val="20"/>
          <w:lang w:val="en-GB" w:eastAsia="ja-JP"/>
        </w:rPr>
        <w:t xml:space="preserve"> transmission</w:t>
      </w:r>
      <w:r w:rsidR="008C0B12">
        <w:rPr>
          <w:rFonts w:cs="Arial"/>
          <w:szCs w:val="20"/>
          <w:lang w:val="en-GB" w:eastAsia="ja-JP"/>
        </w:rPr>
        <w:t xml:space="preserve">. </w:t>
      </w:r>
      <w:r w:rsidR="00D05C7B">
        <w:rPr>
          <w:rFonts w:cs="Arial"/>
          <w:szCs w:val="20"/>
          <w:lang w:val="en-GB" w:eastAsia="ja-JP"/>
        </w:rPr>
        <w:t xml:space="preserve">In both examples, LTE SL resource pool configuration is not considered. </w:t>
      </w:r>
      <w:r w:rsidR="00841D1A">
        <w:rPr>
          <w:rFonts w:cs="Arial"/>
          <w:szCs w:val="20"/>
          <w:lang w:val="en-GB" w:eastAsia="ja-JP"/>
        </w:rPr>
        <w:t xml:space="preserve">If </w:t>
      </w:r>
      <w:r w:rsidR="008F52C4">
        <w:rPr>
          <w:rFonts w:cs="Arial"/>
          <w:szCs w:val="20"/>
          <w:lang w:val="en-GB" w:eastAsia="ja-JP"/>
        </w:rPr>
        <w:t>one chooses LTE SLSS slots</w:t>
      </w:r>
      <w:r w:rsidR="002B3294">
        <w:rPr>
          <w:rFonts w:cs="Arial"/>
          <w:szCs w:val="20"/>
          <w:lang w:val="en-GB" w:eastAsia="ja-JP"/>
        </w:rPr>
        <w:t xml:space="preserve"> and NR SLSS slots</w:t>
      </w:r>
      <w:r w:rsidR="008F52C4">
        <w:rPr>
          <w:rFonts w:cs="Arial"/>
          <w:szCs w:val="20"/>
          <w:lang w:val="en-GB" w:eastAsia="ja-JP"/>
        </w:rPr>
        <w:t xml:space="preserve"> judiciously</w:t>
      </w:r>
      <w:r w:rsidR="002B3294">
        <w:rPr>
          <w:rFonts w:cs="Arial"/>
          <w:szCs w:val="20"/>
          <w:lang w:val="en-GB" w:eastAsia="ja-JP"/>
        </w:rPr>
        <w:t xml:space="preserve"> in a certain combination</w:t>
      </w:r>
      <w:r w:rsidR="008F52C4">
        <w:rPr>
          <w:rFonts w:cs="Arial"/>
          <w:szCs w:val="20"/>
          <w:lang w:val="en-GB" w:eastAsia="ja-JP"/>
        </w:rPr>
        <w:t xml:space="preserve">, </w:t>
      </w:r>
      <w:r w:rsidR="00D4125D">
        <w:rPr>
          <w:rFonts w:cs="Arial"/>
          <w:szCs w:val="20"/>
          <w:lang w:val="en-GB" w:eastAsia="ja-JP"/>
        </w:rPr>
        <w:t xml:space="preserve">the issue of misalignment is further minimized. </w:t>
      </w:r>
      <w:r w:rsidR="00D05C7B">
        <w:rPr>
          <w:rFonts w:cs="Arial"/>
          <w:szCs w:val="20"/>
          <w:lang w:val="en-GB" w:eastAsia="ja-JP"/>
        </w:rPr>
        <w:t xml:space="preserve"> </w:t>
      </w:r>
      <w:r w:rsidR="00D75878">
        <w:rPr>
          <w:rFonts w:cs="Arial"/>
          <w:szCs w:val="20"/>
          <w:lang w:val="en-GB" w:eastAsia="ja-JP"/>
        </w:rPr>
        <w:t xml:space="preserve">This is illustrated in Figure 5. </w:t>
      </w:r>
    </w:p>
    <w:p w14:paraId="3233F11D" w14:textId="77777777" w:rsidR="003A31BC" w:rsidRDefault="003A31BC" w:rsidP="002A7934">
      <w:pPr>
        <w:jc w:val="both"/>
        <w:rPr>
          <w:rFonts w:cs="Arial"/>
          <w:szCs w:val="20"/>
          <w:lang w:val="en-GB" w:eastAsia="ja-JP"/>
        </w:rPr>
      </w:pPr>
    </w:p>
    <w:p w14:paraId="4A326717" w14:textId="77777777" w:rsidR="007D4CAC" w:rsidRDefault="007D4CAC" w:rsidP="00D75878">
      <w:pPr>
        <w:keepNext/>
        <w:jc w:val="center"/>
      </w:pPr>
      <w:r w:rsidRPr="007D4CAC">
        <w:rPr>
          <w:rFonts w:cs="Arial"/>
          <w:noProof/>
          <w:szCs w:val="20"/>
          <w:lang w:eastAsia="ja-JP"/>
        </w:rPr>
        <w:lastRenderedPageBreak/>
        <w:drawing>
          <wp:inline distT="0" distB="0" distL="0" distR="0" wp14:anchorId="4318ECA1" wp14:editId="2D58B6CE">
            <wp:extent cx="4993481" cy="2792806"/>
            <wp:effectExtent l="0" t="0" r="0" b="0"/>
            <wp:docPr id="2" name="Picture 1" descr="A screenshot of a computer&#10;&#10;Description automatically generated with low confidence">
              <a:extLst xmlns:a="http://schemas.openxmlformats.org/drawingml/2006/main">
                <a:ext uri="{FF2B5EF4-FFF2-40B4-BE49-F238E27FC236}">
                  <a16:creationId xmlns:a16="http://schemas.microsoft.com/office/drawing/2014/main" id="{9FA21050-F367-0464-70F4-33CE87908B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screenshot of a computer&#10;&#10;Description automatically generated with low confidence">
                      <a:extLst>
                        <a:ext uri="{FF2B5EF4-FFF2-40B4-BE49-F238E27FC236}">
                          <a16:creationId xmlns:a16="http://schemas.microsoft.com/office/drawing/2014/main" id="{9FA21050-F367-0464-70F4-33CE87908B78}"/>
                        </a:ext>
                      </a:extLst>
                    </pic:cNvPr>
                    <pic:cNvPicPr>
                      <a:picLocks noChangeAspect="1"/>
                    </pic:cNvPicPr>
                  </pic:nvPicPr>
                  <pic:blipFill>
                    <a:blip r:embed="rId72"/>
                    <a:stretch>
                      <a:fillRect/>
                    </a:stretch>
                  </pic:blipFill>
                  <pic:spPr>
                    <a:xfrm>
                      <a:off x="0" y="0"/>
                      <a:ext cx="5035356" cy="2816226"/>
                    </a:xfrm>
                    <a:prstGeom prst="rect">
                      <a:avLst/>
                    </a:prstGeom>
                  </pic:spPr>
                </pic:pic>
              </a:graphicData>
            </a:graphic>
          </wp:inline>
        </w:drawing>
      </w:r>
    </w:p>
    <w:p w14:paraId="2EF651A9" w14:textId="7307A4D4" w:rsidR="007D4CAC" w:rsidRDefault="007D4CAC" w:rsidP="007D4CAC">
      <w:pPr>
        <w:pStyle w:val="Caption"/>
        <w:jc w:val="both"/>
        <w:rPr>
          <w:rFonts w:cs="Arial"/>
          <w:szCs w:val="20"/>
          <w:lang w:val="en-GB" w:eastAsia="ja-JP"/>
        </w:rPr>
      </w:pPr>
      <w:r>
        <w:t xml:space="preserve">Figure </w:t>
      </w:r>
      <w:r>
        <w:fldChar w:fldCharType="begin"/>
      </w:r>
      <w:r>
        <w:instrText xml:space="preserve"> SEQ Figure \* ARABIC </w:instrText>
      </w:r>
      <w:r>
        <w:fldChar w:fldCharType="separate"/>
      </w:r>
      <w:r>
        <w:rPr>
          <w:noProof/>
        </w:rPr>
        <w:t>5</w:t>
      </w:r>
      <w:r>
        <w:fldChar w:fldCharType="end"/>
      </w:r>
      <w:r>
        <w:t xml:space="preserve">. Illustration of NR resource pool configuration with its SLSS and LTE resource pool configuration with its SLSS. Both configurations together </w:t>
      </w:r>
      <w:r w:rsidR="00D75878">
        <w:t>help</w:t>
      </w:r>
      <w:r>
        <w:t xml:space="preserve"> in alleviating the misalignment of logical and physical time slots with respect to PSFCH slots.</w:t>
      </w:r>
      <w:r w:rsidRPr="007D4CAC">
        <w:t xml:space="preserve"> </w:t>
      </w:r>
      <w:r>
        <w:t xml:space="preserve">NR PSFCH periodicity is set to 4 and two SLSS slots exist per 160 </w:t>
      </w:r>
      <w:proofErr w:type="spellStart"/>
      <w:r>
        <w:t>ms</w:t>
      </w:r>
      <w:proofErr w:type="spellEnd"/>
      <w:r>
        <w:t xml:space="preserve"> interval.</w:t>
      </w:r>
    </w:p>
    <w:p w14:paraId="1F65B811" w14:textId="00B3371B" w:rsidR="001F35BE" w:rsidRDefault="005F3DC9" w:rsidP="001F35BE">
      <w:pPr>
        <w:rPr>
          <w:lang w:eastAsia="en-GB"/>
        </w:rPr>
      </w:pPr>
      <w:r>
        <w:rPr>
          <w:lang w:eastAsia="en-GB"/>
        </w:rPr>
        <w:t>Based on the above</w:t>
      </w:r>
      <w:r w:rsidR="00655454">
        <w:rPr>
          <w:lang w:eastAsia="en-GB"/>
        </w:rPr>
        <w:t>, we have the following observation and proposals</w:t>
      </w:r>
      <w:r w:rsidR="0017016D">
        <w:rPr>
          <w:lang w:eastAsia="en-GB"/>
        </w:rPr>
        <w:t>:</w:t>
      </w:r>
    </w:p>
    <w:p w14:paraId="564A0829" w14:textId="7A456443" w:rsidR="0017016D" w:rsidRDefault="0017016D" w:rsidP="0017016D">
      <w:pPr>
        <w:pStyle w:val="Observation"/>
        <w:ind w:left="1701" w:hanging="1701"/>
      </w:pPr>
      <w:bookmarkStart w:id="35" w:name="_Toc118727584"/>
      <w:r>
        <w:t xml:space="preserve">In some </w:t>
      </w:r>
      <w:r w:rsidR="001175E4">
        <w:t>cases</w:t>
      </w:r>
      <w:r>
        <w:t xml:space="preserve">, the mismatch between logical and physical </w:t>
      </w:r>
      <w:r w:rsidR="003233FA">
        <w:t xml:space="preserve">slots </w:t>
      </w:r>
      <w:r w:rsidR="002F7081">
        <w:t>can</w:t>
      </w:r>
      <w:r>
        <w:t xml:space="preserve"> make a problem in detecting periodic PSFCH transmission</w:t>
      </w:r>
      <w:r w:rsidR="002F7081">
        <w:t xml:space="preserve"> and in some cases</w:t>
      </w:r>
      <w:r w:rsidR="00A87D53">
        <w:t>,</w:t>
      </w:r>
      <w:r w:rsidR="002F7081">
        <w:t xml:space="preserve"> </w:t>
      </w:r>
      <w:r w:rsidR="00695CE4">
        <w:t xml:space="preserve">there is </w:t>
      </w:r>
      <w:r w:rsidR="00665895">
        <w:t>no</w:t>
      </w:r>
      <w:r w:rsidR="00C627F6">
        <w:t>ne</w:t>
      </w:r>
      <w:r w:rsidR="00332671">
        <w:t xml:space="preserve"> or minimum</w:t>
      </w:r>
      <w:r w:rsidR="00695CE4">
        <w:t xml:space="preserve"> </w:t>
      </w:r>
      <w:r w:rsidR="004B333E">
        <w:t>impact</w:t>
      </w:r>
      <w:r>
        <w:t>.</w:t>
      </w:r>
      <w:bookmarkEnd w:id="35"/>
    </w:p>
    <w:p w14:paraId="3BABE875" w14:textId="0984DE43" w:rsidR="007D614C" w:rsidRPr="00547797" w:rsidRDefault="005959EC" w:rsidP="00332BE9">
      <w:pPr>
        <w:pStyle w:val="Proposal"/>
      </w:pPr>
      <w:bookmarkStart w:id="36" w:name="_Toc118727559"/>
      <w:r>
        <w:t xml:space="preserve">The mismatch between logical and physical slots </w:t>
      </w:r>
      <w:r w:rsidR="00310D09">
        <w:t>is</w:t>
      </w:r>
      <w:r w:rsidR="00BD0716">
        <w:t xml:space="preserve"> avoided b</w:t>
      </w:r>
      <w:r w:rsidR="00370B0B">
        <w:t>y using an appropriate (pre-)configuration for</w:t>
      </w:r>
      <w:r w:rsidR="00BD0716">
        <w:t xml:space="preserve"> NR SL (resource pool, SLSS, etc.)</w:t>
      </w:r>
      <w:r w:rsidR="00370B0B">
        <w:t>.</w:t>
      </w:r>
      <w:bookmarkEnd w:id="36"/>
    </w:p>
    <w:p w14:paraId="7EF4F02E" w14:textId="3C6217DA" w:rsidR="00247FE2" w:rsidRDefault="00421274" w:rsidP="00C627F6">
      <w:pPr>
        <w:pStyle w:val="Proposal"/>
      </w:pPr>
      <w:bookmarkStart w:id="37" w:name="_Toc118725075"/>
      <w:bookmarkStart w:id="38" w:name="_Toc118725076"/>
      <w:bookmarkStart w:id="39" w:name="_Toc118727560"/>
      <w:bookmarkEnd w:id="37"/>
      <w:bookmarkEnd w:id="38"/>
      <w:r>
        <w:t>In each PSFCH occasion, PSCCH/PSSCH RX UE transmits PSFCH only if there exists an alignment between logical and physical slots with respect to PSFCH slot.</w:t>
      </w:r>
      <w:bookmarkEnd w:id="39"/>
    </w:p>
    <w:p w14:paraId="51A24C61" w14:textId="1C79EB41" w:rsidR="00E112E2" w:rsidRDefault="00040C68" w:rsidP="00616C36">
      <w:pPr>
        <w:pStyle w:val="Heading3"/>
      </w:pPr>
      <w:bookmarkStart w:id="40" w:name="_Toc118725000"/>
      <w:bookmarkEnd w:id="40"/>
      <w:r>
        <w:t>2</w:t>
      </w:r>
      <w:r w:rsidR="00E112E2">
        <w:t>.2.2</w:t>
      </w:r>
      <w:r w:rsidR="00E112E2">
        <w:tab/>
        <w:t xml:space="preserve">Details of sensing information shared by LTE SL module </w:t>
      </w:r>
    </w:p>
    <w:p w14:paraId="5A58F69C" w14:textId="2A2EFF2F" w:rsidR="00E112E2" w:rsidRPr="008E222B" w:rsidRDefault="00E112E2" w:rsidP="006E2375">
      <w:pPr>
        <w:jc w:val="both"/>
        <w:rPr>
          <w:rFonts w:cs="Arial"/>
          <w:szCs w:val="20"/>
        </w:rPr>
      </w:pPr>
      <w:r w:rsidRPr="008E222B">
        <w:rPr>
          <w:rFonts w:cs="Arial"/>
          <w:szCs w:val="20"/>
          <w:lang w:val="en-GB"/>
        </w:rPr>
        <w:t>For dynamic resource pool sharing</w:t>
      </w:r>
      <w:r w:rsidR="0041374B" w:rsidRPr="008E222B">
        <w:rPr>
          <w:rFonts w:cs="Arial"/>
          <w:szCs w:val="20"/>
          <w:lang w:val="en-GB"/>
        </w:rPr>
        <w:t>, where the NR SL module uses the candidate information shared by the LTE SL module to the NR SL module</w:t>
      </w:r>
      <w:r w:rsidR="0062003F" w:rsidRPr="008E222B">
        <w:rPr>
          <w:rFonts w:cs="Arial"/>
          <w:szCs w:val="20"/>
          <w:lang w:val="en-GB"/>
        </w:rPr>
        <w:t xml:space="preserve">, </w:t>
      </w:r>
      <w:r w:rsidR="00DF3B8C" w:rsidRPr="008E222B">
        <w:rPr>
          <w:rFonts w:cs="Arial"/>
          <w:szCs w:val="20"/>
          <w:lang w:val="en-GB"/>
        </w:rPr>
        <w:t xml:space="preserve">two alternatives were considered for further </w:t>
      </w:r>
      <w:r w:rsidR="0030090C" w:rsidRPr="008E222B">
        <w:rPr>
          <w:rFonts w:cs="Arial"/>
          <w:szCs w:val="20"/>
          <w:lang w:val="en-GB"/>
        </w:rPr>
        <w:t xml:space="preserve">study </w:t>
      </w:r>
      <w:r w:rsidR="00C652F6" w:rsidRPr="008E222B">
        <w:rPr>
          <w:rFonts w:cs="Arial"/>
          <w:szCs w:val="20"/>
          <w:lang w:val="en-GB"/>
        </w:rPr>
        <w:t>in the</w:t>
      </w:r>
      <w:r w:rsidR="00E107A2" w:rsidRPr="008E222B">
        <w:rPr>
          <w:rFonts w:cs="Arial"/>
          <w:szCs w:val="20"/>
          <w:lang w:val="en-GB"/>
        </w:rPr>
        <w:t xml:space="preserve"> previous</w:t>
      </w:r>
      <w:r w:rsidR="00C652F6" w:rsidRPr="008E222B">
        <w:rPr>
          <w:rFonts w:cs="Arial"/>
          <w:szCs w:val="20"/>
          <w:lang w:val="en-GB"/>
        </w:rPr>
        <w:t xml:space="preserve"> </w:t>
      </w:r>
      <w:r w:rsidR="00E107A2" w:rsidRPr="008E222B">
        <w:rPr>
          <w:rFonts w:cs="Arial"/>
          <w:szCs w:val="20"/>
          <w:lang w:val="en-GB"/>
        </w:rPr>
        <w:t>meeting</w:t>
      </w:r>
      <w:r w:rsidR="00E402FF" w:rsidRPr="008E222B">
        <w:rPr>
          <w:rFonts w:cs="Arial"/>
          <w:szCs w:val="20"/>
        </w:rPr>
        <w:t>:</w:t>
      </w:r>
    </w:p>
    <w:p w14:paraId="09F36EC1" w14:textId="3D7A0C8E" w:rsidR="00E402FF" w:rsidRPr="006E2375" w:rsidRDefault="008E222B" w:rsidP="00A45730">
      <w:pPr>
        <w:pStyle w:val="ListParagraph"/>
        <w:numPr>
          <w:ilvl w:val="0"/>
          <w:numId w:val="38"/>
        </w:numPr>
        <w:jc w:val="both"/>
        <w:rPr>
          <w:rFonts w:ascii="Arial" w:hAnsi="Arial" w:cs="Arial"/>
          <w:sz w:val="20"/>
          <w:szCs w:val="20"/>
          <w:lang w:val="en-GB"/>
        </w:rPr>
      </w:pPr>
      <w:r w:rsidRPr="006E2375">
        <w:rPr>
          <w:rFonts w:ascii="Arial" w:hAnsi="Arial" w:cs="Arial"/>
          <w:sz w:val="20"/>
          <w:szCs w:val="20"/>
          <w:lang w:val="en-GB"/>
        </w:rPr>
        <w:t xml:space="preserve">Alt 1: </w:t>
      </w:r>
      <w:r w:rsidR="00CD52CD" w:rsidRPr="006E2375">
        <w:rPr>
          <w:rFonts w:ascii="Arial" w:hAnsi="Arial" w:cs="Arial"/>
          <w:sz w:val="20"/>
          <w:szCs w:val="20"/>
          <w:lang w:val="en-GB"/>
        </w:rPr>
        <w:t>LTE SL module provides the NR SL module with the candidate information</w:t>
      </w:r>
      <w:r w:rsidR="003D4C7C" w:rsidRPr="006E2375">
        <w:rPr>
          <w:rFonts w:ascii="Arial" w:hAnsi="Arial" w:cs="Arial"/>
          <w:sz w:val="20"/>
          <w:szCs w:val="20"/>
          <w:lang w:val="en-GB"/>
        </w:rPr>
        <w:t xml:space="preserve"> (excluding at least the candidate resource sets </w:t>
      </w:r>
      <w:r w:rsidR="00C748FA" w:rsidRPr="006E2375">
        <w:rPr>
          <w:rFonts w:ascii="Arial" w:hAnsi="Arial" w:cs="Arial"/>
          <w:sz w:val="20"/>
          <w:szCs w:val="20"/>
          <w:lang w:val="en-GB"/>
        </w:rPr>
        <w:t>S</w:t>
      </w:r>
      <w:r w:rsidR="00C748FA" w:rsidRPr="006E2375">
        <w:rPr>
          <w:rFonts w:ascii="Arial" w:hAnsi="Arial" w:cs="Arial"/>
          <w:sz w:val="20"/>
          <w:szCs w:val="20"/>
          <w:vertAlign w:val="subscript"/>
          <w:lang w:val="en-GB"/>
        </w:rPr>
        <w:t>A</w:t>
      </w:r>
      <w:r w:rsidR="00C748FA" w:rsidRPr="006E2375">
        <w:rPr>
          <w:rFonts w:ascii="Arial" w:hAnsi="Arial" w:cs="Arial"/>
          <w:sz w:val="20"/>
          <w:szCs w:val="20"/>
          <w:lang w:val="en-GB"/>
        </w:rPr>
        <w:t xml:space="preserve"> or S</w:t>
      </w:r>
      <w:r w:rsidR="00C748FA" w:rsidRPr="006E2375">
        <w:rPr>
          <w:rFonts w:ascii="Arial" w:hAnsi="Arial" w:cs="Arial"/>
          <w:sz w:val="20"/>
          <w:szCs w:val="20"/>
          <w:vertAlign w:val="subscript"/>
          <w:lang w:val="en-GB"/>
        </w:rPr>
        <w:t>B</w:t>
      </w:r>
      <w:r w:rsidR="00C748FA" w:rsidRPr="006E2375">
        <w:rPr>
          <w:rFonts w:ascii="Arial" w:hAnsi="Arial" w:cs="Arial"/>
          <w:sz w:val="20"/>
          <w:szCs w:val="20"/>
          <w:lang w:val="en-GB"/>
        </w:rPr>
        <w:t>)</w:t>
      </w:r>
    </w:p>
    <w:p w14:paraId="6EFAC334" w14:textId="7793EF31" w:rsidR="008E222B" w:rsidRPr="006E2375" w:rsidRDefault="008E222B" w:rsidP="00A45730">
      <w:pPr>
        <w:pStyle w:val="ListParagraph"/>
        <w:numPr>
          <w:ilvl w:val="0"/>
          <w:numId w:val="38"/>
        </w:numPr>
        <w:jc w:val="both"/>
        <w:rPr>
          <w:lang w:val="en-GB"/>
        </w:rPr>
      </w:pPr>
      <w:r>
        <w:rPr>
          <w:lang w:val="en-GB"/>
        </w:rPr>
        <w:t xml:space="preserve">Alt 2: </w:t>
      </w:r>
      <w:r w:rsidRPr="006E2375">
        <w:rPr>
          <w:rFonts w:ascii="Arial" w:eastAsia="MS Mincho" w:hAnsi="Arial" w:cs="Arial"/>
          <w:sz w:val="20"/>
          <w:szCs w:val="16"/>
        </w:rPr>
        <w:t>The LTE SL module provides the NR SL module with the candidate resource sets S</w:t>
      </w:r>
      <w:r w:rsidRPr="006E2375">
        <w:rPr>
          <w:rFonts w:ascii="Arial" w:eastAsia="MS Mincho" w:hAnsi="Arial" w:cs="Arial"/>
          <w:sz w:val="20"/>
          <w:szCs w:val="16"/>
          <w:vertAlign w:val="subscript"/>
        </w:rPr>
        <w:t>A</w:t>
      </w:r>
      <w:r w:rsidRPr="006E2375">
        <w:rPr>
          <w:rFonts w:ascii="Arial" w:eastAsia="MS Mincho" w:hAnsi="Arial" w:cs="Arial"/>
          <w:sz w:val="20"/>
          <w:szCs w:val="16"/>
        </w:rPr>
        <w:t xml:space="preserve"> or S</w:t>
      </w:r>
      <w:r w:rsidRPr="006E2375">
        <w:rPr>
          <w:rFonts w:ascii="Arial" w:eastAsia="MS Mincho" w:hAnsi="Arial" w:cs="Arial"/>
          <w:sz w:val="20"/>
          <w:szCs w:val="16"/>
          <w:vertAlign w:val="subscript"/>
        </w:rPr>
        <w:t xml:space="preserve">B </w:t>
      </w:r>
      <w:r w:rsidRPr="006E2375">
        <w:rPr>
          <w:rFonts w:ascii="Arial" w:eastAsia="MS Mincho" w:hAnsi="Arial" w:cs="Arial"/>
          <w:sz w:val="20"/>
          <w:szCs w:val="16"/>
        </w:rPr>
        <w:t>shared by the LTE SL module</w:t>
      </w:r>
    </w:p>
    <w:p w14:paraId="02EC6863" w14:textId="77777777" w:rsidR="00D36FA8" w:rsidRPr="00BF0732" w:rsidRDefault="00D36FA8" w:rsidP="006E2375">
      <w:pPr>
        <w:jc w:val="both"/>
        <w:rPr>
          <w:lang w:val="en-GB"/>
        </w:rPr>
      </w:pPr>
    </w:p>
    <w:p w14:paraId="2F4CB611" w14:textId="70E3A3D7" w:rsidR="00CA4E85" w:rsidRDefault="0025282E" w:rsidP="00CE5FF8">
      <w:pPr>
        <w:jc w:val="both"/>
        <w:rPr>
          <w:rFonts w:eastAsia="MS Mincho" w:cs="Arial"/>
          <w:szCs w:val="16"/>
        </w:rPr>
      </w:pPr>
      <w:r w:rsidRPr="00E6408F">
        <w:t xml:space="preserve">In Alt 1, </w:t>
      </w:r>
      <w:r w:rsidR="007C6E7D">
        <w:t xml:space="preserve">LTE SL module provides a set of parameters </w:t>
      </w:r>
      <w:r w:rsidR="001A1432">
        <w:t xml:space="preserve">to NR SL module, which </w:t>
      </w:r>
      <w:r w:rsidR="00ED22EE">
        <w:t xml:space="preserve">are </w:t>
      </w:r>
      <w:r w:rsidR="00091DE6">
        <w:t>then</w:t>
      </w:r>
      <w:r w:rsidR="001A1432">
        <w:t xml:space="preserve"> used for </w:t>
      </w:r>
      <w:r w:rsidR="00B11005">
        <w:t xml:space="preserve">identifying </w:t>
      </w:r>
      <w:r w:rsidR="00B63C65">
        <w:t xml:space="preserve">the </w:t>
      </w:r>
      <w:r w:rsidR="00A67B1B">
        <w:t xml:space="preserve">resources </w:t>
      </w:r>
      <w:r w:rsidR="002C5D87">
        <w:t>that are used or reserved</w:t>
      </w:r>
      <w:r w:rsidR="00452CE5">
        <w:t xml:space="preserve"> </w:t>
      </w:r>
      <w:r w:rsidR="009F1DC9">
        <w:t xml:space="preserve">to be used by </w:t>
      </w:r>
      <w:r w:rsidR="007511D3">
        <w:t xml:space="preserve">LTE SL transmissions. </w:t>
      </w:r>
      <w:r w:rsidR="006461BA">
        <w:t xml:space="preserve">Consequently, </w:t>
      </w:r>
      <w:r w:rsidR="00AE2E8D">
        <w:t xml:space="preserve">in the resource </w:t>
      </w:r>
      <w:r w:rsidR="00046A68">
        <w:t>(</w:t>
      </w:r>
      <w:r w:rsidR="00AE2E8D">
        <w:t>re</w:t>
      </w:r>
      <w:r w:rsidR="00046A68">
        <w:t>)</w:t>
      </w:r>
      <w:r w:rsidR="00AE2E8D">
        <w:t xml:space="preserve">selection procedure, </w:t>
      </w:r>
      <w:r w:rsidR="006461BA">
        <w:t xml:space="preserve">the NR SL module </w:t>
      </w:r>
      <w:r w:rsidR="00BF2C93">
        <w:t xml:space="preserve">excludes </w:t>
      </w:r>
      <w:r w:rsidR="00167FEF">
        <w:t xml:space="preserve">these identified resources </w:t>
      </w:r>
      <w:r w:rsidR="00CE5FF8">
        <w:t xml:space="preserve">from its own candidate resource set. </w:t>
      </w:r>
      <w:r w:rsidR="00180D92">
        <w:t>This is performed in the PHY layer.</w:t>
      </w:r>
      <w:r w:rsidR="005939E9">
        <w:t xml:space="preserve"> If the LTE SL module </w:t>
      </w:r>
      <w:r w:rsidR="0029331F">
        <w:t>shares</w:t>
      </w:r>
      <w:r w:rsidR="00A25921">
        <w:t xml:space="preserve"> the </w:t>
      </w:r>
      <w:r w:rsidR="0029331F">
        <w:t>required</w:t>
      </w:r>
      <w:r w:rsidR="00A25921">
        <w:t xml:space="preserve"> information</w:t>
      </w:r>
      <w:r w:rsidR="0029331F">
        <w:t>, then N</w:t>
      </w:r>
      <w:r w:rsidR="00EA0FB7">
        <w:t>R</w:t>
      </w:r>
      <w:r w:rsidR="0029331F">
        <w:t xml:space="preserve"> SL module would be able to identify the resources corresponding to LTE SL transmissio</w:t>
      </w:r>
      <w:r w:rsidR="00B5520E">
        <w:t xml:space="preserve">n without </w:t>
      </w:r>
      <w:r w:rsidR="009B4A86">
        <w:t xml:space="preserve">any specification impact to LTE. </w:t>
      </w:r>
      <w:r w:rsidR="00484D2A">
        <w:t xml:space="preserve">Another advantage of this method compared to Alt 2 </w:t>
      </w:r>
      <w:r w:rsidR="006C048B">
        <w:t xml:space="preserve">that relies on </w:t>
      </w:r>
      <w:r w:rsidR="00EA0FB7">
        <w:t>directly providing</w:t>
      </w:r>
      <w:r w:rsidR="006C048B">
        <w:t xml:space="preserve"> </w:t>
      </w:r>
      <w:r w:rsidR="006C048B" w:rsidRPr="00D62DC0">
        <w:rPr>
          <w:rFonts w:eastAsia="MS Mincho" w:cs="Arial"/>
          <w:szCs w:val="16"/>
        </w:rPr>
        <w:t>S</w:t>
      </w:r>
      <w:r w:rsidR="006C048B" w:rsidRPr="00D62DC0">
        <w:rPr>
          <w:rFonts w:eastAsia="MS Mincho" w:cs="Arial"/>
          <w:szCs w:val="16"/>
          <w:vertAlign w:val="subscript"/>
        </w:rPr>
        <w:t>A</w:t>
      </w:r>
      <w:r w:rsidR="006C048B" w:rsidRPr="00D62DC0">
        <w:rPr>
          <w:rFonts w:eastAsia="MS Mincho" w:cs="Arial"/>
          <w:szCs w:val="16"/>
        </w:rPr>
        <w:t xml:space="preserve"> or S</w:t>
      </w:r>
      <w:r w:rsidR="006C048B" w:rsidRPr="00D62DC0">
        <w:rPr>
          <w:rFonts w:eastAsia="MS Mincho" w:cs="Arial"/>
          <w:szCs w:val="16"/>
          <w:vertAlign w:val="subscript"/>
        </w:rPr>
        <w:t>B</w:t>
      </w:r>
      <w:r w:rsidR="006C048B">
        <w:rPr>
          <w:rFonts w:eastAsia="MS Mincho" w:cs="Arial"/>
          <w:szCs w:val="16"/>
        </w:rPr>
        <w:t xml:space="preserve"> is</w:t>
      </w:r>
      <w:r w:rsidR="00924EE8">
        <w:rPr>
          <w:rFonts w:eastAsia="MS Mincho" w:cs="Arial"/>
          <w:szCs w:val="16"/>
        </w:rPr>
        <w:t xml:space="preserve"> </w:t>
      </w:r>
      <w:r w:rsidR="00C0554E">
        <w:rPr>
          <w:rFonts w:eastAsia="MS Mincho" w:cs="Arial"/>
          <w:szCs w:val="16"/>
        </w:rPr>
        <w:t>possibility to provide</w:t>
      </w:r>
      <w:r w:rsidR="00924EE8">
        <w:rPr>
          <w:rFonts w:eastAsia="MS Mincho" w:cs="Arial"/>
          <w:szCs w:val="16"/>
        </w:rPr>
        <w:t xml:space="preserve"> </w:t>
      </w:r>
      <w:r w:rsidR="001650C8">
        <w:rPr>
          <w:rFonts w:eastAsia="MS Mincho" w:cs="Arial"/>
          <w:szCs w:val="16"/>
        </w:rPr>
        <w:t>flexibility</w:t>
      </w:r>
      <w:r w:rsidR="00C0554E">
        <w:rPr>
          <w:rFonts w:eastAsia="MS Mincho" w:cs="Arial"/>
          <w:szCs w:val="16"/>
        </w:rPr>
        <w:t xml:space="preserve"> and improvement</w:t>
      </w:r>
      <w:r w:rsidR="000303D7">
        <w:rPr>
          <w:rFonts w:eastAsia="MS Mincho" w:cs="Arial"/>
          <w:szCs w:val="16"/>
        </w:rPr>
        <w:t>s</w:t>
      </w:r>
      <w:r w:rsidR="00721C8F">
        <w:rPr>
          <w:rFonts w:eastAsia="MS Mincho" w:cs="Arial"/>
          <w:szCs w:val="16"/>
        </w:rPr>
        <w:t xml:space="preserve"> </w:t>
      </w:r>
      <w:r w:rsidR="001650C8">
        <w:rPr>
          <w:rFonts w:eastAsia="MS Mincho" w:cs="Arial"/>
          <w:szCs w:val="16"/>
        </w:rPr>
        <w:t>in forming the candidate resource set</w:t>
      </w:r>
      <w:r w:rsidR="00B75733">
        <w:rPr>
          <w:rFonts w:eastAsia="MS Mincho" w:cs="Arial"/>
          <w:szCs w:val="16"/>
        </w:rPr>
        <w:t xml:space="preserve"> </w:t>
      </w:r>
      <w:r w:rsidR="00721C8F">
        <w:rPr>
          <w:rFonts w:eastAsia="MS Mincho" w:cs="Arial"/>
          <w:szCs w:val="16"/>
        </w:rPr>
        <w:t xml:space="preserve">with </w:t>
      </w:r>
      <w:r w:rsidR="00A86F32">
        <w:rPr>
          <w:rFonts w:eastAsia="MS Mincho" w:cs="Arial"/>
          <w:szCs w:val="16"/>
        </w:rPr>
        <w:t>improvements</w:t>
      </w:r>
      <w:r w:rsidR="00541B9F">
        <w:rPr>
          <w:rFonts w:eastAsia="MS Mincho" w:cs="Arial"/>
          <w:szCs w:val="16"/>
        </w:rPr>
        <w:t xml:space="preserve">, </w:t>
      </w:r>
      <w:r w:rsidR="00183B70">
        <w:rPr>
          <w:rFonts w:eastAsia="MS Mincho" w:cs="Arial"/>
          <w:szCs w:val="16"/>
        </w:rPr>
        <w:t xml:space="preserve">which may have better resource utilization. </w:t>
      </w:r>
    </w:p>
    <w:p w14:paraId="46A63387" w14:textId="4434C96D" w:rsidR="009F3BCD" w:rsidRDefault="00731FB1" w:rsidP="00CE5FF8">
      <w:pPr>
        <w:jc w:val="both"/>
        <w:rPr>
          <w:rFonts w:eastAsia="MS Mincho" w:cs="Arial"/>
          <w:szCs w:val="16"/>
        </w:rPr>
      </w:pPr>
      <w:r>
        <w:rPr>
          <w:rFonts w:eastAsia="MS Mincho" w:cs="Arial"/>
          <w:szCs w:val="16"/>
        </w:rPr>
        <w:t xml:space="preserve">On the other hand, in Alt 2, </w:t>
      </w:r>
      <w:r w:rsidR="00FB146B">
        <w:rPr>
          <w:rFonts w:eastAsia="MS Mincho" w:cs="Arial"/>
          <w:szCs w:val="16"/>
        </w:rPr>
        <w:t xml:space="preserve">the NR SL module </w:t>
      </w:r>
      <w:r w:rsidR="000E0DCE">
        <w:rPr>
          <w:rFonts w:eastAsia="MS Mincho" w:cs="Arial"/>
          <w:szCs w:val="16"/>
        </w:rPr>
        <w:t xml:space="preserve">just </w:t>
      </w:r>
      <w:r w:rsidR="00EA300D">
        <w:rPr>
          <w:rFonts w:eastAsia="MS Mincho" w:cs="Arial"/>
          <w:szCs w:val="16"/>
        </w:rPr>
        <w:t xml:space="preserve">uses </w:t>
      </w:r>
      <w:r w:rsidR="00EA300D" w:rsidRPr="00D62DC0">
        <w:rPr>
          <w:rFonts w:eastAsia="MS Mincho" w:cs="Arial"/>
          <w:szCs w:val="16"/>
        </w:rPr>
        <w:t>S</w:t>
      </w:r>
      <w:r w:rsidR="00EA300D" w:rsidRPr="00D62DC0">
        <w:rPr>
          <w:rFonts w:eastAsia="MS Mincho" w:cs="Arial"/>
          <w:szCs w:val="16"/>
          <w:vertAlign w:val="subscript"/>
        </w:rPr>
        <w:t>A</w:t>
      </w:r>
      <w:r w:rsidR="00EA300D" w:rsidRPr="00D62DC0">
        <w:rPr>
          <w:rFonts w:eastAsia="MS Mincho" w:cs="Arial"/>
          <w:szCs w:val="16"/>
        </w:rPr>
        <w:t xml:space="preserve"> or S</w:t>
      </w:r>
      <w:r w:rsidR="00EA300D" w:rsidRPr="00D62DC0">
        <w:rPr>
          <w:rFonts w:eastAsia="MS Mincho" w:cs="Arial"/>
          <w:szCs w:val="16"/>
          <w:vertAlign w:val="subscript"/>
        </w:rPr>
        <w:t>B</w:t>
      </w:r>
      <w:r w:rsidR="00EA300D">
        <w:rPr>
          <w:rFonts w:eastAsia="MS Mincho" w:cs="Arial"/>
          <w:szCs w:val="16"/>
        </w:rPr>
        <w:t xml:space="preserve"> </w:t>
      </w:r>
      <w:r w:rsidR="00181409">
        <w:rPr>
          <w:rFonts w:eastAsia="MS Mincho" w:cs="Arial"/>
          <w:szCs w:val="16"/>
        </w:rPr>
        <w:t xml:space="preserve">corresponding to LTE SL transmissions </w:t>
      </w:r>
      <w:r w:rsidR="008F5393">
        <w:rPr>
          <w:rFonts w:eastAsia="MS Mincho" w:cs="Arial"/>
          <w:szCs w:val="16"/>
        </w:rPr>
        <w:t xml:space="preserve">to deduce its own candidate </w:t>
      </w:r>
      <w:r w:rsidR="00181409">
        <w:rPr>
          <w:rFonts w:eastAsia="MS Mincho" w:cs="Arial"/>
          <w:szCs w:val="16"/>
        </w:rPr>
        <w:t>resource set</w:t>
      </w:r>
      <w:r w:rsidR="00691B5F">
        <w:rPr>
          <w:rFonts w:eastAsia="MS Mincho" w:cs="Arial"/>
          <w:szCs w:val="16"/>
        </w:rPr>
        <w:t xml:space="preserve">, which is typically performed in the MAC layer. </w:t>
      </w:r>
      <w:r w:rsidR="00D55A4C">
        <w:rPr>
          <w:rFonts w:eastAsia="MS Mincho" w:cs="Arial"/>
          <w:szCs w:val="16"/>
        </w:rPr>
        <w:t>However</w:t>
      </w:r>
      <w:r w:rsidR="006A52FC">
        <w:rPr>
          <w:rFonts w:eastAsia="MS Mincho" w:cs="Arial"/>
          <w:szCs w:val="16"/>
        </w:rPr>
        <w:t>,</w:t>
      </w:r>
      <w:r w:rsidR="00D55A4C">
        <w:rPr>
          <w:rFonts w:eastAsia="MS Mincho" w:cs="Arial"/>
          <w:szCs w:val="16"/>
        </w:rPr>
        <w:t xml:space="preserve"> there is a situation of insufficient </w:t>
      </w:r>
      <w:r w:rsidR="006D0BDA">
        <w:rPr>
          <w:rFonts w:eastAsia="MS Mincho" w:cs="Arial"/>
          <w:szCs w:val="16"/>
        </w:rPr>
        <w:t xml:space="preserve">set of </w:t>
      </w:r>
      <w:r w:rsidR="00D55A4C">
        <w:rPr>
          <w:rFonts w:eastAsia="MS Mincho" w:cs="Arial"/>
          <w:szCs w:val="16"/>
        </w:rPr>
        <w:t>resources</w:t>
      </w:r>
      <w:r w:rsidR="004523DC">
        <w:rPr>
          <w:rFonts w:eastAsia="MS Mincho" w:cs="Arial"/>
          <w:szCs w:val="16"/>
        </w:rPr>
        <w:t xml:space="preserve">, which needs further </w:t>
      </w:r>
      <w:r w:rsidR="00FB6EED">
        <w:rPr>
          <w:rFonts w:eastAsia="MS Mincho" w:cs="Arial"/>
          <w:szCs w:val="16"/>
        </w:rPr>
        <w:t xml:space="preserve">study. </w:t>
      </w:r>
      <w:r w:rsidR="006A52FC">
        <w:rPr>
          <w:rFonts w:eastAsia="MS Mincho" w:cs="Arial"/>
          <w:szCs w:val="16"/>
        </w:rPr>
        <w:t xml:space="preserve">In this case, LTE SL module may need to </w:t>
      </w:r>
      <w:r w:rsidR="006A52FC">
        <w:rPr>
          <w:rFonts w:eastAsia="MS Mincho" w:cs="Arial"/>
          <w:szCs w:val="16"/>
        </w:rPr>
        <w:lastRenderedPageBreak/>
        <w:t xml:space="preserve">share additional parameters </w:t>
      </w:r>
      <w:r w:rsidR="00046A68">
        <w:rPr>
          <w:rFonts w:eastAsia="MS Mincho" w:cs="Arial"/>
          <w:szCs w:val="16"/>
        </w:rPr>
        <w:t xml:space="preserve">with NR SL module </w:t>
      </w:r>
      <w:r w:rsidR="006A52FC">
        <w:rPr>
          <w:rFonts w:eastAsia="MS Mincho" w:cs="Arial"/>
          <w:szCs w:val="16"/>
        </w:rPr>
        <w:t xml:space="preserve">as in Alt 1 </w:t>
      </w:r>
      <w:r w:rsidR="00D0362A">
        <w:rPr>
          <w:rFonts w:eastAsia="MS Mincho" w:cs="Arial"/>
          <w:szCs w:val="16"/>
        </w:rPr>
        <w:t>to</w:t>
      </w:r>
      <w:r w:rsidR="00263565">
        <w:rPr>
          <w:rFonts w:eastAsia="MS Mincho" w:cs="Arial"/>
          <w:szCs w:val="16"/>
        </w:rPr>
        <w:t xml:space="preserve"> improve the resource </w:t>
      </w:r>
      <w:r w:rsidR="00046A68">
        <w:rPr>
          <w:rFonts w:eastAsia="MS Mincho" w:cs="Arial"/>
          <w:szCs w:val="16"/>
        </w:rPr>
        <w:t>(</w:t>
      </w:r>
      <w:r w:rsidR="00263565">
        <w:rPr>
          <w:rFonts w:eastAsia="MS Mincho" w:cs="Arial"/>
          <w:szCs w:val="16"/>
        </w:rPr>
        <w:t>re</w:t>
      </w:r>
      <w:r w:rsidR="00046A68">
        <w:rPr>
          <w:rFonts w:eastAsia="MS Mincho" w:cs="Arial"/>
          <w:szCs w:val="16"/>
        </w:rPr>
        <w:t>)</w:t>
      </w:r>
      <w:r w:rsidR="00263565">
        <w:rPr>
          <w:rFonts w:eastAsia="MS Mincho" w:cs="Arial"/>
          <w:szCs w:val="16"/>
        </w:rPr>
        <w:t>selection process</w:t>
      </w:r>
      <w:r w:rsidR="00D0362A">
        <w:rPr>
          <w:rFonts w:eastAsia="MS Mincho" w:cs="Arial"/>
          <w:szCs w:val="16"/>
        </w:rPr>
        <w:t>.</w:t>
      </w:r>
      <w:r w:rsidR="008E58CE">
        <w:rPr>
          <w:rFonts w:eastAsia="MS Mincho" w:cs="Arial"/>
          <w:szCs w:val="16"/>
        </w:rPr>
        <w:t xml:space="preserve"> </w:t>
      </w:r>
      <w:r w:rsidR="00B037B1">
        <w:rPr>
          <w:rFonts w:eastAsia="MS Mincho" w:cs="Arial"/>
          <w:szCs w:val="16"/>
        </w:rPr>
        <w:t xml:space="preserve">Further, </w:t>
      </w:r>
      <w:r w:rsidR="00076A20">
        <w:rPr>
          <w:rFonts w:eastAsia="MS Mincho" w:cs="Arial"/>
          <w:szCs w:val="16"/>
        </w:rPr>
        <w:t>it is also not straightforward to handle NR V2X parameter settings that are not supported by LTE V2X, e.g., periodicities, subchannel sizes, etc</w:t>
      </w:r>
      <w:r w:rsidR="00A91408">
        <w:rPr>
          <w:rFonts w:eastAsia="MS Mincho" w:cs="Arial"/>
          <w:szCs w:val="16"/>
        </w:rPr>
        <w:t xml:space="preserve">., and </w:t>
      </w:r>
      <w:r w:rsidR="007A0843">
        <w:rPr>
          <w:rFonts w:eastAsia="MS Mincho" w:cs="Arial"/>
          <w:szCs w:val="16"/>
        </w:rPr>
        <w:t xml:space="preserve">it is unclear </w:t>
      </w:r>
      <w:r w:rsidR="00F8380D">
        <w:rPr>
          <w:rFonts w:eastAsia="MS Mincho" w:cs="Arial"/>
          <w:szCs w:val="16"/>
        </w:rPr>
        <w:t>whether there is a specification impact to LTE or not</w:t>
      </w:r>
      <w:r w:rsidR="001D2740">
        <w:rPr>
          <w:rFonts w:eastAsia="MS Mincho" w:cs="Arial"/>
          <w:szCs w:val="16"/>
        </w:rPr>
        <w:t xml:space="preserve"> due to this.</w:t>
      </w:r>
    </w:p>
    <w:p w14:paraId="200D5FF6" w14:textId="298CC2D6" w:rsidR="00E77F5A" w:rsidRDefault="00FE3025" w:rsidP="00CE5FF8">
      <w:pPr>
        <w:jc w:val="both"/>
      </w:pPr>
      <w:r>
        <w:t>After</w:t>
      </w:r>
      <w:r w:rsidR="00626000">
        <w:t xml:space="preserve"> </w:t>
      </w:r>
      <w:r w:rsidR="00086AC8">
        <w:t xml:space="preserve">inspecting both alternatives, </w:t>
      </w:r>
      <w:r w:rsidR="006B7158">
        <w:t>Alt 1</w:t>
      </w:r>
      <w:r w:rsidR="00D94986">
        <w:t xml:space="preserve"> is </w:t>
      </w:r>
      <w:r w:rsidR="00E42827">
        <w:t xml:space="preserve">seen to be advantageous and hence </w:t>
      </w:r>
      <w:r w:rsidR="005224BD">
        <w:t xml:space="preserve">we propose to </w:t>
      </w:r>
      <w:r w:rsidR="00E42827">
        <w:t>consider</w:t>
      </w:r>
      <w:r w:rsidR="00F3006F">
        <w:t xml:space="preserve"> the same</w:t>
      </w:r>
      <w:r w:rsidR="006B7158">
        <w:t xml:space="preserve"> </w:t>
      </w:r>
      <w:r w:rsidR="00355B3F">
        <w:t>for sharing the c</w:t>
      </w:r>
      <w:r w:rsidR="00045345">
        <w:t>andidat</w:t>
      </w:r>
      <w:r w:rsidR="003A6DE1">
        <w:t xml:space="preserve">e information </w:t>
      </w:r>
      <w:r w:rsidR="000E6C2E">
        <w:t>with NR SL module.</w:t>
      </w:r>
    </w:p>
    <w:p w14:paraId="28BB477E" w14:textId="4540C7E1" w:rsidR="00F84074" w:rsidRPr="00AD4735" w:rsidRDefault="0034167D" w:rsidP="006E2375">
      <w:pPr>
        <w:pStyle w:val="Proposal"/>
        <w:rPr>
          <w:lang w:val="en-GB"/>
        </w:rPr>
      </w:pPr>
      <w:bookmarkStart w:id="41" w:name="_Toc118727561"/>
      <w:r>
        <w:t xml:space="preserve">RAN1 shall consider </w:t>
      </w:r>
      <w:r w:rsidR="00F84074" w:rsidRPr="00AD4735">
        <w:t xml:space="preserve">Alt </w:t>
      </w:r>
      <w:r w:rsidR="00F84074" w:rsidRPr="00AD4735">
        <w:rPr>
          <w:lang w:val="en-GB"/>
        </w:rPr>
        <w:t xml:space="preserve">1: LTE SL module provides the NR SL module with the candidate information (excluding at least the candidate resource sets </w:t>
      </w:r>
      <w:r w:rsidR="00F84074" w:rsidRPr="006E2375">
        <w:rPr>
          <w:rFonts w:eastAsia="Calibri"/>
          <w:lang w:val="en-GB"/>
        </w:rPr>
        <w:t>S</w:t>
      </w:r>
      <w:r w:rsidR="00F84074" w:rsidRPr="006E2375">
        <w:rPr>
          <w:rFonts w:eastAsia="Calibri"/>
          <w:vertAlign w:val="subscript"/>
          <w:lang w:val="en-GB"/>
        </w:rPr>
        <w:t>A</w:t>
      </w:r>
      <w:r w:rsidR="00F84074" w:rsidRPr="006E2375">
        <w:rPr>
          <w:rFonts w:eastAsia="Calibri"/>
          <w:lang w:val="en-GB"/>
        </w:rPr>
        <w:t xml:space="preserve"> or S</w:t>
      </w:r>
      <w:r w:rsidR="00F84074" w:rsidRPr="006E2375">
        <w:rPr>
          <w:rFonts w:eastAsia="Calibri"/>
          <w:vertAlign w:val="subscript"/>
          <w:lang w:val="en-GB"/>
        </w:rPr>
        <w:t>B</w:t>
      </w:r>
      <w:r w:rsidR="00F84074" w:rsidRPr="006E2375">
        <w:rPr>
          <w:rFonts w:eastAsia="Calibri"/>
          <w:lang w:val="en-GB"/>
        </w:rPr>
        <w:t>)</w:t>
      </w:r>
      <w:r w:rsidR="00435112" w:rsidRPr="00AD4735">
        <w:rPr>
          <w:lang w:val="en-GB"/>
        </w:rPr>
        <w:t>, which is then used</w:t>
      </w:r>
      <w:r w:rsidR="000F7F2A" w:rsidRPr="00AD4735">
        <w:rPr>
          <w:lang w:val="en-GB"/>
        </w:rPr>
        <w:t xml:space="preserve"> by NR module</w:t>
      </w:r>
      <w:r w:rsidR="00435112" w:rsidRPr="00AD4735">
        <w:rPr>
          <w:lang w:val="en-GB"/>
        </w:rPr>
        <w:t xml:space="preserve"> </w:t>
      </w:r>
      <w:r w:rsidR="000F7F2A" w:rsidRPr="00AD4735">
        <w:rPr>
          <w:lang w:val="en-GB"/>
        </w:rPr>
        <w:t>while deriving its candidate resource set.</w:t>
      </w:r>
      <w:bookmarkEnd w:id="41"/>
    </w:p>
    <w:p w14:paraId="31D09F7E" w14:textId="07A0250F" w:rsidR="004C2993" w:rsidRDefault="00C62B28" w:rsidP="00254CCC">
      <w:pPr>
        <w:pStyle w:val="Proposal"/>
      </w:pPr>
      <w:bookmarkStart w:id="42" w:name="_Toc118727562"/>
      <w:r>
        <w:t>For dynamic resource pool sharing, PHY layer</w:t>
      </w:r>
      <w:r w:rsidR="009142DD">
        <w:t xml:space="preserve"> in NR SL module</w:t>
      </w:r>
      <w:r>
        <w:t xml:space="preserve"> carrie</w:t>
      </w:r>
      <w:r w:rsidR="009142DD">
        <w:t>s</w:t>
      </w:r>
      <w:r>
        <w:t xml:space="preserve"> out the resource determination </w:t>
      </w:r>
      <w:r w:rsidR="00BF63FF">
        <w:t>for</w:t>
      </w:r>
      <w:r w:rsidR="009142DD">
        <w:t xml:space="preserve"> its own transmission.</w:t>
      </w:r>
      <w:bookmarkEnd w:id="42"/>
      <w:r w:rsidR="00BF63FF">
        <w:t xml:space="preserve"> </w:t>
      </w:r>
    </w:p>
    <w:p w14:paraId="4EF8EC74" w14:textId="29689307" w:rsidR="00F94259" w:rsidRDefault="00BF3434" w:rsidP="009F6BAA">
      <w:pPr>
        <w:jc w:val="both"/>
      </w:pPr>
      <w:r>
        <w:t>With respect to Alt 1</w:t>
      </w:r>
      <w:r w:rsidR="00632B4F">
        <w:t xml:space="preserve"> above</w:t>
      </w:r>
      <w:r>
        <w:t xml:space="preserve">, </w:t>
      </w:r>
      <w:r w:rsidR="007A1676">
        <w:t xml:space="preserve">it is also necessary to agree </w:t>
      </w:r>
      <w:r w:rsidR="00A7583A">
        <w:t xml:space="preserve">on </w:t>
      </w:r>
      <w:r w:rsidR="00AD5E38">
        <w:t xml:space="preserve">which of the parameters </w:t>
      </w:r>
      <w:r w:rsidR="007F7B72">
        <w:t xml:space="preserve">are included in </w:t>
      </w:r>
      <w:r w:rsidR="00AF30ED">
        <w:t>the candidate information shared by the LTE SL module</w:t>
      </w:r>
      <w:r w:rsidR="00A7583A">
        <w:t xml:space="preserve">. </w:t>
      </w:r>
      <w:r w:rsidR="005016B4">
        <w:t xml:space="preserve">One straightforward approach is to </w:t>
      </w:r>
      <w:r w:rsidR="00EA1020">
        <w:t xml:space="preserve">let NR SL module </w:t>
      </w:r>
      <w:r w:rsidR="00734744">
        <w:t>follow the</w:t>
      </w:r>
      <w:r w:rsidR="00C34C87">
        <w:t xml:space="preserve"> principles of LTE mode 4</w:t>
      </w:r>
      <w:r w:rsidR="00734744">
        <w:t xml:space="preserve"> </w:t>
      </w:r>
      <w:r w:rsidR="00C34C87">
        <w:t>resource</w:t>
      </w:r>
      <w:r w:rsidR="00983281">
        <w:t xml:space="preserve"> selection </w:t>
      </w:r>
      <w:r w:rsidR="00734744">
        <w:t xml:space="preserve">procedure </w:t>
      </w:r>
      <w:r w:rsidR="00B00352">
        <w:t xml:space="preserve">to identify </w:t>
      </w:r>
      <w:r w:rsidR="009E2501">
        <w:t xml:space="preserve">resources </w:t>
      </w:r>
      <w:r w:rsidR="005C616D">
        <w:t>of LTE SL transmissions</w:t>
      </w:r>
      <w:r w:rsidR="00B25025">
        <w:t>, based on the information received from LTE SL module.</w:t>
      </w:r>
      <w:r w:rsidR="00B57DF3">
        <w:t xml:space="preserve"> </w:t>
      </w:r>
      <w:r w:rsidR="00C34C87">
        <w:t xml:space="preserve">In that case, we propose </w:t>
      </w:r>
      <w:r w:rsidR="00A2121C">
        <w:t>that the candidate information shared by LTE SL module includes the following parameters:</w:t>
      </w:r>
    </w:p>
    <w:p w14:paraId="79803922" w14:textId="77777777" w:rsidR="00C34C87" w:rsidRPr="006E1D90" w:rsidRDefault="00C34C87" w:rsidP="00A45730">
      <w:pPr>
        <w:pStyle w:val="ListParagraph"/>
        <w:numPr>
          <w:ilvl w:val="0"/>
          <w:numId w:val="39"/>
        </w:numPr>
        <w:jc w:val="both"/>
        <w:rPr>
          <w:rFonts w:ascii="Arial" w:hAnsi="Arial" w:cs="Arial"/>
          <w:sz w:val="20"/>
          <w:szCs w:val="20"/>
          <w:lang w:val="en-US"/>
        </w:rPr>
      </w:pPr>
      <w:r w:rsidRPr="006E1D90">
        <w:rPr>
          <w:rFonts w:ascii="Arial" w:hAnsi="Arial" w:cs="Arial"/>
          <w:sz w:val="20"/>
          <w:szCs w:val="20"/>
          <w:lang w:val="en-GB"/>
        </w:rPr>
        <w:t>Time and frequency locations of reserved resources by other LTE UEs, determined based on decoded SCIs</w:t>
      </w:r>
    </w:p>
    <w:p w14:paraId="471CD4AC" w14:textId="77777777" w:rsidR="00C34C87" w:rsidRPr="006E1D90" w:rsidRDefault="00C34C87" w:rsidP="00A45730">
      <w:pPr>
        <w:pStyle w:val="ListParagraph"/>
        <w:numPr>
          <w:ilvl w:val="0"/>
          <w:numId w:val="39"/>
        </w:numPr>
        <w:jc w:val="both"/>
        <w:rPr>
          <w:rFonts w:ascii="Arial" w:hAnsi="Arial" w:cs="Arial"/>
          <w:sz w:val="20"/>
          <w:szCs w:val="20"/>
          <w:lang w:val="en-US"/>
        </w:rPr>
      </w:pPr>
      <w:r w:rsidRPr="006E1D90">
        <w:rPr>
          <w:rFonts w:ascii="Arial" w:hAnsi="Arial" w:cs="Arial"/>
          <w:sz w:val="20"/>
          <w:szCs w:val="20"/>
          <w:lang w:val="en-GB"/>
        </w:rPr>
        <w:t>Resource reservation periods based on decoded SCI and for own LTE SL transmissions</w:t>
      </w:r>
    </w:p>
    <w:p w14:paraId="3817A61F" w14:textId="77777777" w:rsidR="00C34C87" w:rsidRPr="006E1D90" w:rsidRDefault="00C34C87" w:rsidP="00A45730">
      <w:pPr>
        <w:pStyle w:val="ListParagraph"/>
        <w:numPr>
          <w:ilvl w:val="0"/>
          <w:numId w:val="39"/>
        </w:numPr>
        <w:jc w:val="both"/>
        <w:rPr>
          <w:rFonts w:ascii="Arial" w:hAnsi="Arial" w:cs="Arial"/>
          <w:sz w:val="20"/>
          <w:szCs w:val="20"/>
          <w:lang w:val="en-US"/>
        </w:rPr>
      </w:pPr>
      <w:r w:rsidRPr="006E1D90">
        <w:rPr>
          <w:rFonts w:ascii="Arial" w:hAnsi="Arial" w:cs="Arial"/>
          <w:sz w:val="20"/>
          <w:szCs w:val="20"/>
          <w:lang w:val="en-GB"/>
        </w:rPr>
        <w:t>Priority based on decoded SCI and for own LTE SL transmissions</w:t>
      </w:r>
    </w:p>
    <w:p w14:paraId="7E4CD2B8" w14:textId="77777777" w:rsidR="00C34C87" w:rsidRPr="006E1D90" w:rsidRDefault="00C34C87" w:rsidP="00A45730">
      <w:pPr>
        <w:pStyle w:val="ListParagraph"/>
        <w:numPr>
          <w:ilvl w:val="0"/>
          <w:numId w:val="39"/>
        </w:numPr>
        <w:jc w:val="both"/>
        <w:rPr>
          <w:rFonts w:ascii="Arial" w:hAnsi="Arial" w:cs="Arial"/>
          <w:sz w:val="20"/>
          <w:szCs w:val="20"/>
          <w:lang w:val="en-US"/>
        </w:rPr>
      </w:pPr>
      <w:r w:rsidRPr="006E1D90">
        <w:rPr>
          <w:rFonts w:ascii="Arial" w:hAnsi="Arial" w:cs="Arial"/>
          <w:sz w:val="20"/>
          <w:szCs w:val="20"/>
          <w:lang w:val="en-GB"/>
        </w:rPr>
        <w:t>Time and frequency location of resources used for own LTE SL transmissions</w:t>
      </w:r>
    </w:p>
    <w:p w14:paraId="643CC66A" w14:textId="484C2199" w:rsidR="00C34C87" w:rsidRPr="006E1D90" w:rsidRDefault="00C34C87" w:rsidP="00A45730">
      <w:pPr>
        <w:pStyle w:val="ListParagraph"/>
        <w:numPr>
          <w:ilvl w:val="0"/>
          <w:numId w:val="39"/>
        </w:numPr>
        <w:jc w:val="both"/>
        <w:rPr>
          <w:rFonts w:ascii="Arial" w:hAnsi="Arial" w:cs="Arial"/>
          <w:sz w:val="20"/>
          <w:szCs w:val="20"/>
          <w:lang w:val="en-US"/>
        </w:rPr>
      </w:pPr>
      <w:r w:rsidRPr="006E1D90">
        <w:rPr>
          <w:rFonts w:ascii="Arial" w:hAnsi="Arial" w:cs="Arial"/>
          <w:sz w:val="20"/>
          <w:szCs w:val="20"/>
          <w:lang w:val="en-GB"/>
        </w:rPr>
        <w:t>SL RSSI</w:t>
      </w:r>
      <w:r w:rsidR="00A24EF7" w:rsidRPr="006E1D90">
        <w:rPr>
          <w:rFonts w:ascii="Arial" w:hAnsi="Arial" w:cs="Arial"/>
          <w:sz w:val="20"/>
          <w:szCs w:val="20"/>
          <w:lang w:val="en-GB"/>
        </w:rPr>
        <w:t>/RSRP</w:t>
      </w:r>
      <w:r w:rsidRPr="006E1D90">
        <w:rPr>
          <w:rFonts w:ascii="Arial" w:hAnsi="Arial" w:cs="Arial"/>
          <w:sz w:val="20"/>
          <w:szCs w:val="20"/>
          <w:lang w:val="en-GB"/>
        </w:rPr>
        <w:t xml:space="preserve"> measurements</w:t>
      </w:r>
    </w:p>
    <w:p w14:paraId="0A94CE2B" w14:textId="77777777" w:rsidR="00C34C87" w:rsidRPr="006E1D90" w:rsidRDefault="00C34C87" w:rsidP="00A45730">
      <w:pPr>
        <w:pStyle w:val="ListParagraph"/>
        <w:numPr>
          <w:ilvl w:val="0"/>
          <w:numId w:val="39"/>
        </w:numPr>
        <w:jc w:val="both"/>
        <w:rPr>
          <w:rFonts w:ascii="Arial" w:hAnsi="Arial" w:cs="Arial"/>
          <w:sz w:val="20"/>
          <w:szCs w:val="20"/>
          <w:lang w:val="en-US"/>
        </w:rPr>
      </w:pPr>
      <w:r w:rsidRPr="006E1D90">
        <w:rPr>
          <w:rFonts w:ascii="Arial" w:hAnsi="Arial" w:cs="Arial"/>
          <w:sz w:val="20"/>
          <w:szCs w:val="20"/>
          <w:lang w:val="en-GB"/>
        </w:rPr>
        <w:t>Resources corresponding to half-duplex subframes which are not monitored by the LTE SL UE </w:t>
      </w:r>
    </w:p>
    <w:p w14:paraId="47F3B695" w14:textId="77777777" w:rsidR="00C34C87" w:rsidRDefault="00C34C87" w:rsidP="001508E7"/>
    <w:p w14:paraId="1925E2F0" w14:textId="2EF9F057" w:rsidR="001508E7" w:rsidRPr="004528AF" w:rsidRDefault="001508E7" w:rsidP="001508E7">
      <w:pPr>
        <w:pStyle w:val="Proposal"/>
        <w:rPr>
          <w:rFonts w:cs="Arial"/>
          <w:szCs w:val="20"/>
          <w:lang w:val="en-GB" w:eastAsia="ja-JP"/>
        </w:rPr>
      </w:pPr>
      <w:bookmarkStart w:id="43" w:name="_Toc118727563"/>
      <w:r>
        <w:rPr>
          <w:rFonts w:cs="Arial"/>
          <w:szCs w:val="20"/>
          <w:lang w:val="en-GB" w:eastAsia="ja-JP"/>
        </w:rPr>
        <w:t>For dynamic resource pool sharing</w:t>
      </w:r>
      <w:r w:rsidR="00FB20FF">
        <w:rPr>
          <w:rFonts w:cs="Arial"/>
          <w:szCs w:val="20"/>
          <w:lang w:val="en-GB" w:eastAsia="ja-JP"/>
        </w:rPr>
        <w:t xml:space="preserve">, </w:t>
      </w:r>
      <w:r w:rsidR="00C836BB">
        <w:rPr>
          <w:rFonts w:cs="Arial"/>
          <w:szCs w:val="20"/>
          <w:lang w:val="en-GB" w:eastAsia="ja-JP"/>
        </w:rPr>
        <w:t xml:space="preserve">LTE </w:t>
      </w:r>
      <w:r w:rsidR="00047666">
        <w:rPr>
          <w:rFonts w:cs="Arial"/>
          <w:szCs w:val="20"/>
          <w:lang w:val="en-GB" w:eastAsia="ja-JP"/>
        </w:rPr>
        <w:t xml:space="preserve">SL module </w:t>
      </w:r>
      <w:r w:rsidR="00C836BB">
        <w:rPr>
          <w:rFonts w:cs="Arial"/>
          <w:szCs w:val="20"/>
          <w:lang w:val="en-GB" w:eastAsia="ja-JP"/>
        </w:rPr>
        <w:t xml:space="preserve">shares the candidate information </w:t>
      </w:r>
      <w:r w:rsidR="00047666">
        <w:rPr>
          <w:rFonts w:cs="Arial"/>
          <w:szCs w:val="20"/>
          <w:lang w:val="en-GB" w:eastAsia="ja-JP"/>
        </w:rPr>
        <w:t>with NR SL module</w:t>
      </w:r>
      <w:r w:rsidR="00DF3EA7">
        <w:rPr>
          <w:rFonts w:cs="Arial"/>
          <w:szCs w:val="20"/>
          <w:lang w:val="en-GB" w:eastAsia="ja-JP"/>
        </w:rPr>
        <w:t xml:space="preserve">, which includes the following </w:t>
      </w:r>
      <w:r w:rsidR="00A24EF7">
        <w:rPr>
          <w:rFonts w:cs="Arial"/>
          <w:szCs w:val="20"/>
          <w:lang w:val="en-GB" w:eastAsia="ja-JP"/>
        </w:rPr>
        <w:t>parameters:</w:t>
      </w:r>
      <w:bookmarkEnd w:id="43"/>
    </w:p>
    <w:p w14:paraId="45D74B27" w14:textId="49632C39" w:rsidR="00A24EF7" w:rsidRDefault="00DF3EA7" w:rsidP="00A45730">
      <w:pPr>
        <w:pStyle w:val="Proposal"/>
        <w:numPr>
          <w:ilvl w:val="0"/>
          <w:numId w:val="14"/>
        </w:numPr>
        <w:rPr>
          <w:lang w:val="en-GB"/>
        </w:rPr>
      </w:pPr>
      <w:bookmarkStart w:id="44" w:name="_Toc118727564"/>
      <w:r>
        <w:rPr>
          <w:lang w:val="en-GB"/>
        </w:rPr>
        <w:t>Time and frequency locations of reserved resources by other LTE UEs, determined based on decoded SCIs</w:t>
      </w:r>
      <w:bookmarkEnd w:id="44"/>
    </w:p>
    <w:p w14:paraId="296BBA60" w14:textId="77777777" w:rsidR="00A24EF7" w:rsidRDefault="00A24EF7" w:rsidP="00A45730">
      <w:pPr>
        <w:pStyle w:val="Proposal"/>
        <w:numPr>
          <w:ilvl w:val="0"/>
          <w:numId w:val="14"/>
        </w:numPr>
        <w:rPr>
          <w:lang w:val="en-GB"/>
        </w:rPr>
      </w:pPr>
      <w:bookmarkStart w:id="45" w:name="_Toc118727565"/>
      <w:r>
        <w:rPr>
          <w:lang w:val="en-GB"/>
        </w:rPr>
        <w:t>Resource reservation periods based on decoded SCI and for own LTE SL transmissions</w:t>
      </w:r>
      <w:bookmarkEnd w:id="45"/>
    </w:p>
    <w:p w14:paraId="5B2B383F" w14:textId="77777777" w:rsidR="00A24EF7" w:rsidRDefault="00A24EF7" w:rsidP="00A45730">
      <w:pPr>
        <w:pStyle w:val="Proposal"/>
        <w:numPr>
          <w:ilvl w:val="0"/>
          <w:numId w:val="14"/>
        </w:numPr>
        <w:rPr>
          <w:lang w:val="en-GB"/>
        </w:rPr>
      </w:pPr>
      <w:bookmarkStart w:id="46" w:name="_Toc118727566"/>
      <w:r>
        <w:rPr>
          <w:lang w:val="en-GB"/>
        </w:rPr>
        <w:t>Priority based on decoded SCI and for own LTE SL transmissions</w:t>
      </w:r>
      <w:bookmarkEnd w:id="46"/>
    </w:p>
    <w:p w14:paraId="24F28EF9" w14:textId="77777777" w:rsidR="00A24EF7" w:rsidRDefault="00A24EF7" w:rsidP="00A45730">
      <w:pPr>
        <w:pStyle w:val="Proposal"/>
        <w:numPr>
          <w:ilvl w:val="0"/>
          <w:numId w:val="14"/>
        </w:numPr>
        <w:rPr>
          <w:lang w:val="en-GB"/>
        </w:rPr>
      </w:pPr>
      <w:bookmarkStart w:id="47" w:name="_Toc118727567"/>
      <w:r>
        <w:rPr>
          <w:lang w:val="en-GB"/>
        </w:rPr>
        <w:t>Time and frequency location of resources used for own LTE SL transmissions</w:t>
      </w:r>
      <w:bookmarkEnd w:id="47"/>
    </w:p>
    <w:p w14:paraId="5D7FDB24" w14:textId="61E36561" w:rsidR="001508E7" w:rsidRPr="0080374C" w:rsidRDefault="00A24EF7" w:rsidP="00A45730">
      <w:pPr>
        <w:pStyle w:val="Proposal"/>
        <w:numPr>
          <w:ilvl w:val="0"/>
          <w:numId w:val="14"/>
        </w:numPr>
        <w:rPr>
          <w:lang w:val="en-GB"/>
        </w:rPr>
      </w:pPr>
      <w:bookmarkStart w:id="48" w:name="_Toc118727568"/>
      <w:r>
        <w:rPr>
          <w:lang w:val="en-GB"/>
        </w:rPr>
        <w:t>SLRSSI/RSRP measurements</w:t>
      </w:r>
      <w:bookmarkEnd w:id="48"/>
    </w:p>
    <w:p w14:paraId="0D06D8A3" w14:textId="061853FE" w:rsidR="001508E7" w:rsidRDefault="00A24EF7" w:rsidP="00A45730">
      <w:pPr>
        <w:pStyle w:val="Proposal"/>
        <w:numPr>
          <w:ilvl w:val="0"/>
          <w:numId w:val="14"/>
        </w:numPr>
        <w:rPr>
          <w:lang w:val="en-GB"/>
        </w:rPr>
      </w:pPr>
      <w:bookmarkStart w:id="49" w:name="_Toc118727569"/>
      <w:r>
        <w:rPr>
          <w:lang w:val="en-GB"/>
        </w:rPr>
        <w:t>Resources corresponding to half-duplex subframes which are not monitored by the LTE SL UE</w:t>
      </w:r>
      <w:r w:rsidR="001508E7" w:rsidRPr="0080374C">
        <w:rPr>
          <w:lang w:val="en-GB"/>
        </w:rPr>
        <w:t>.</w:t>
      </w:r>
      <w:bookmarkEnd w:id="49"/>
    </w:p>
    <w:p w14:paraId="67F026B6" w14:textId="77777777" w:rsidR="000765C8" w:rsidRDefault="000765C8" w:rsidP="00A24EF7"/>
    <w:p w14:paraId="1F2675E4" w14:textId="4CAF5A24" w:rsidR="000765C8" w:rsidRPr="00A24EF7" w:rsidRDefault="00C2353D" w:rsidP="00A24EF7">
      <w:r>
        <w:t xml:space="preserve">In the previous meeting, </w:t>
      </w:r>
      <w:r w:rsidR="00E53236">
        <w:t xml:space="preserve">there was also some discussion related to </w:t>
      </w:r>
      <w:r w:rsidR="008A0D74">
        <w:t xml:space="preserve">what extent of timeline </w:t>
      </w:r>
      <w:r w:rsidR="00920C4D">
        <w:t xml:space="preserve">NR SL module </w:t>
      </w:r>
      <w:r w:rsidR="00B56798">
        <w:t xml:space="preserve">needs to consider </w:t>
      </w:r>
      <w:r w:rsidR="002E402C">
        <w:t xml:space="preserve">using </w:t>
      </w:r>
      <w:r w:rsidR="00D159D9">
        <w:t xml:space="preserve">the candidate information shared by the LTE SL module. </w:t>
      </w:r>
    </w:p>
    <w:tbl>
      <w:tblPr>
        <w:tblStyle w:val="TableGrid"/>
        <w:tblW w:w="0" w:type="auto"/>
        <w:tblLook w:val="04A0" w:firstRow="1" w:lastRow="0" w:firstColumn="1" w:lastColumn="0" w:noHBand="0" w:noVBand="1"/>
      </w:tblPr>
      <w:tblGrid>
        <w:gridCol w:w="9629"/>
      </w:tblGrid>
      <w:tr w:rsidR="00F81692" w:rsidRPr="00A72FD6" w14:paraId="2C57AF53" w14:textId="77777777" w:rsidTr="006E1D90">
        <w:trPr>
          <w:trHeight w:val="2826"/>
        </w:trPr>
        <w:tc>
          <w:tcPr>
            <w:tcW w:w="9629" w:type="dxa"/>
          </w:tcPr>
          <w:p w14:paraId="3A3FCB8B" w14:textId="77777777" w:rsidR="00F81692" w:rsidRPr="00680487" w:rsidRDefault="00F81692" w:rsidP="0059535E">
            <w:pPr>
              <w:rPr>
                <w:rFonts w:ascii="Times New Roman" w:hAnsi="Times New Roman" w:cs="Times New Roman"/>
                <w:sz w:val="18"/>
                <w:szCs w:val="18"/>
                <w:lang w:val="en-GB"/>
              </w:rPr>
            </w:pPr>
            <w:r w:rsidRPr="00680487">
              <w:rPr>
                <w:rFonts w:ascii="Times New Roman" w:hAnsi="Times New Roman" w:cs="Times New Roman"/>
                <w:b/>
                <w:sz w:val="21"/>
                <w:szCs w:val="18"/>
                <w:highlight w:val="green"/>
              </w:rPr>
              <w:lastRenderedPageBreak/>
              <w:t>Agreement</w:t>
            </w:r>
            <w:r w:rsidRPr="00680487">
              <w:rPr>
                <w:rFonts w:ascii="Times New Roman" w:hAnsi="Times New Roman" w:cs="Times New Roman"/>
                <w:sz w:val="21"/>
                <w:szCs w:val="18"/>
                <w:highlight w:val="green"/>
                <w:lang w:val="en-GB"/>
              </w:rPr>
              <w:t>:</w:t>
            </w:r>
            <w:r w:rsidRPr="00680487">
              <w:rPr>
                <w:rFonts w:ascii="Times New Roman" w:hAnsi="Times New Roman" w:cs="Times New Roman"/>
                <w:sz w:val="21"/>
                <w:szCs w:val="18"/>
                <w:lang w:val="en-GB"/>
              </w:rPr>
              <w:t xml:space="preserve"> For dynamic resource pool sharing, the NR SL module is expected to use the information shared by the LTE SL module to the NR SL module which is known by NR SL module at the latest T </w:t>
            </w:r>
            <w:proofErr w:type="spellStart"/>
            <w:r w:rsidRPr="00680487">
              <w:rPr>
                <w:rFonts w:ascii="Times New Roman" w:hAnsi="Times New Roman" w:cs="Times New Roman"/>
                <w:sz w:val="21"/>
                <w:szCs w:val="18"/>
                <w:lang w:val="en-GB"/>
              </w:rPr>
              <w:t>ms</w:t>
            </w:r>
            <w:proofErr w:type="spellEnd"/>
            <w:r w:rsidRPr="00680487">
              <w:rPr>
                <w:rFonts w:ascii="Times New Roman" w:hAnsi="Times New Roman" w:cs="Times New Roman"/>
                <w:sz w:val="21"/>
                <w:szCs w:val="18"/>
                <w:lang w:val="en-GB"/>
              </w:rPr>
              <w:t xml:space="preserve"> prior to slot n (as defined in clause 8.1.4 of TS 38.214), to determine a set of resources for its own (re)transmission.</w:t>
            </w:r>
          </w:p>
          <w:p w14:paraId="3C705E80" w14:textId="77777777" w:rsidR="00F81692" w:rsidRPr="00680487" w:rsidRDefault="00F81692" w:rsidP="00A45730">
            <w:pPr>
              <w:numPr>
                <w:ilvl w:val="0"/>
                <w:numId w:val="33"/>
              </w:numPr>
              <w:rPr>
                <w:rFonts w:ascii="Times New Roman" w:hAnsi="Times New Roman" w:cs="Times New Roman"/>
                <w:sz w:val="18"/>
                <w:szCs w:val="18"/>
                <w:lang w:val="en-GB"/>
              </w:rPr>
            </w:pPr>
            <w:r w:rsidRPr="00680487">
              <w:rPr>
                <w:rFonts w:ascii="Times New Roman" w:hAnsi="Times New Roman" w:cs="Times New Roman"/>
                <w:sz w:val="21"/>
                <w:szCs w:val="18"/>
                <w:lang w:val="en-GB"/>
              </w:rPr>
              <w:t xml:space="preserve">T is defined using </w:t>
            </w:r>
          </w:p>
          <w:p w14:paraId="3DE62785" w14:textId="77777777" w:rsidR="00F81692" w:rsidRPr="00680487" w:rsidRDefault="00F81692" w:rsidP="00A45730">
            <w:pPr>
              <w:numPr>
                <w:ilvl w:val="1"/>
                <w:numId w:val="17"/>
              </w:numPr>
              <w:rPr>
                <w:rFonts w:ascii="Times New Roman" w:hAnsi="Times New Roman" w:cs="Times New Roman"/>
                <w:sz w:val="18"/>
                <w:szCs w:val="18"/>
                <w:lang w:val="en-GB"/>
              </w:rPr>
            </w:pPr>
            <w:proofErr w:type="spellStart"/>
            <w:r w:rsidRPr="00680487">
              <w:rPr>
                <w:rFonts w:ascii="Times New Roman" w:hAnsi="Times New Roman" w:cs="Times New Roman"/>
                <w:sz w:val="21"/>
                <w:szCs w:val="18"/>
                <w:lang w:val="en-GB"/>
              </w:rPr>
              <w:t>T≤T</w:t>
            </w:r>
            <w:r w:rsidRPr="00680487">
              <w:rPr>
                <w:rFonts w:ascii="Times New Roman" w:hAnsi="Times New Roman" w:cs="Times New Roman"/>
                <w:sz w:val="21"/>
                <w:szCs w:val="18"/>
                <w:vertAlign w:val="subscript"/>
                <w:lang w:val="en-GB"/>
              </w:rPr>
              <w:t>max</w:t>
            </w:r>
            <w:proofErr w:type="spellEnd"/>
            <w:r w:rsidRPr="00680487">
              <w:rPr>
                <w:rFonts w:ascii="Times New Roman" w:hAnsi="Times New Roman" w:cs="Times New Roman"/>
                <w:sz w:val="21"/>
                <w:szCs w:val="18"/>
                <w:lang w:val="en-GB"/>
              </w:rPr>
              <w:t xml:space="preserve"> </w:t>
            </w:r>
            <w:proofErr w:type="spellStart"/>
            <w:r w:rsidRPr="00680487">
              <w:rPr>
                <w:rFonts w:ascii="Times New Roman" w:hAnsi="Times New Roman" w:cs="Times New Roman"/>
                <w:sz w:val="21"/>
                <w:szCs w:val="18"/>
                <w:lang w:val="en-GB"/>
              </w:rPr>
              <w:t>ms</w:t>
            </w:r>
            <w:proofErr w:type="spellEnd"/>
            <w:r w:rsidRPr="00680487">
              <w:rPr>
                <w:rFonts w:ascii="Times New Roman" w:hAnsi="Times New Roman" w:cs="Times New Roman"/>
                <w:sz w:val="21"/>
                <w:szCs w:val="18"/>
                <w:lang w:val="en-GB"/>
              </w:rPr>
              <w:t>, and is based on UE implementation, according to the Rel-16 NR SL timeline for in-device coexistence.</w:t>
            </w:r>
          </w:p>
          <w:p w14:paraId="4186FD0C" w14:textId="77777777" w:rsidR="00F81692" w:rsidRPr="00680487" w:rsidRDefault="00F81692" w:rsidP="00A45730">
            <w:pPr>
              <w:numPr>
                <w:ilvl w:val="2"/>
                <w:numId w:val="17"/>
              </w:numPr>
              <w:rPr>
                <w:rFonts w:ascii="Times New Roman" w:hAnsi="Times New Roman" w:cs="Times New Roman"/>
                <w:sz w:val="18"/>
                <w:szCs w:val="18"/>
                <w:lang w:val="en-GB"/>
              </w:rPr>
            </w:pPr>
            <w:r w:rsidRPr="00680487">
              <w:rPr>
                <w:rFonts w:ascii="Times New Roman" w:hAnsi="Times New Roman" w:cs="Times New Roman"/>
                <w:sz w:val="21"/>
                <w:szCs w:val="18"/>
                <w:lang w:val="en-GB"/>
              </w:rPr>
              <w:t xml:space="preserve">FFS: Value of </w:t>
            </w:r>
            <w:proofErr w:type="spellStart"/>
            <w:r w:rsidRPr="00680487">
              <w:rPr>
                <w:rFonts w:ascii="Times New Roman" w:hAnsi="Times New Roman" w:cs="Times New Roman"/>
                <w:sz w:val="21"/>
                <w:szCs w:val="18"/>
                <w:lang w:val="en-GB"/>
              </w:rPr>
              <w:t>T</w:t>
            </w:r>
            <w:r w:rsidRPr="00680487">
              <w:rPr>
                <w:rFonts w:ascii="Times New Roman" w:hAnsi="Times New Roman" w:cs="Times New Roman"/>
                <w:sz w:val="21"/>
                <w:szCs w:val="18"/>
                <w:vertAlign w:val="subscript"/>
                <w:lang w:val="en-GB"/>
              </w:rPr>
              <w:t>max</w:t>
            </w:r>
            <w:proofErr w:type="spellEnd"/>
          </w:p>
          <w:p w14:paraId="60C979EF" w14:textId="72A68621" w:rsidR="00F81692" w:rsidRPr="00A72FD6" w:rsidRDefault="00F81692" w:rsidP="00A45730">
            <w:pPr>
              <w:numPr>
                <w:ilvl w:val="0"/>
                <w:numId w:val="33"/>
              </w:numPr>
              <w:rPr>
                <w:lang w:val="en-GB"/>
              </w:rPr>
            </w:pPr>
            <w:r w:rsidRPr="00680487">
              <w:rPr>
                <w:rFonts w:ascii="Times New Roman" w:hAnsi="Times New Roman" w:cs="Times New Roman"/>
                <w:sz w:val="21"/>
                <w:szCs w:val="18"/>
                <w:lang w:val="en-GB"/>
              </w:rPr>
              <w:t>FFS: any discussion on the earliest information, if needed</w:t>
            </w:r>
          </w:p>
        </w:tc>
      </w:tr>
    </w:tbl>
    <w:p w14:paraId="2DC9BE4E" w14:textId="604109D8" w:rsidR="002F2AAF" w:rsidRDefault="002F2AAF" w:rsidP="009F6BAA">
      <w:pPr>
        <w:jc w:val="both"/>
      </w:pPr>
    </w:p>
    <w:p w14:paraId="79E4795B" w14:textId="40F4EA07" w:rsidR="009F50CE" w:rsidRDefault="009F50CE" w:rsidP="009F6BAA">
      <w:pPr>
        <w:jc w:val="both"/>
      </w:pPr>
      <w:r>
        <w:t xml:space="preserve">In our view, </w:t>
      </w:r>
      <w:r w:rsidR="00C2331A">
        <w:t xml:space="preserve">NR SL module </w:t>
      </w:r>
      <w:r w:rsidR="0030324C">
        <w:t xml:space="preserve">shall follow the </w:t>
      </w:r>
      <w:r w:rsidR="00E05980">
        <w:t xml:space="preserve">Rel-16 NR SL timeline for in-device </w:t>
      </w:r>
      <w:r w:rsidR="000E6B84">
        <w:t>coexistence and</w:t>
      </w:r>
      <w:r w:rsidR="00B5010A">
        <w:t xml:space="preserve"> hence,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max</m:t>
            </m:r>
          </m:sub>
        </m:sSub>
      </m:oMath>
      <w:r w:rsidR="00B5010A" w:rsidRPr="000E6B84">
        <w:rPr>
          <w:vertAlign w:val="subscript"/>
        </w:rPr>
        <w:t xml:space="preserve"> </w:t>
      </w:r>
      <w:r w:rsidR="00B5010A">
        <w:t>is set to 4</w:t>
      </w:r>
      <w:r w:rsidR="000E6B84">
        <w:t>.</w:t>
      </w:r>
    </w:p>
    <w:p w14:paraId="76289178" w14:textId="4EDF984D" w:rsidR="002507C2" w:rsidRPr="004528AF" w:rsidRDefault="009A18B0" w:rsidP="002507C2">
      <w:pPr>
        <w:pStyle w:val="Proposal"/>
        <w:rPr>
          <w:rFonts w:cs="Arial"/>
          <w:szCs w:val="20"/>
          <w:lang w:val="en-GB" w:eastAsia="ja-JP"/>
        </w:rPr>
      </w:pPr>
      <w:bookmarkStart w:id="50" w:name="_Toc118727570"/>
      <w:r w:rsidRPr="009A18B0">
        <w:rPr>
          <w:rFonts w:cs="Arial"/>
          <w:szCs w:val="20"/>
          <w:lang w:val="en-GB" w:eastAsia="ja-JP"/>
        </w:rPr>
        <w:t xml:space="preserve">For dynamic resource pool sharing, the NR SL module is expected to use the information shared by the LTE SL module to the NR SL module which is known by NR SL module at the latest T </w:t>
      </w:r>
      <w:proofErr w:type="spellStart"/>
      <w:r w:rsidRPr="009A18B0">
        <w:rPr>
          <w:rFonts w:cs="Arial"/>
          <w:szCs w:val="20"/>
          <w:lang w:val="en-GB" w:eastAsia="ja-JP"/>
        </w:rPr>
        <w:t>ms</w:t>
      </w:r>
      <w:proofErr w:type="spellEnd"/>
      <w:r w:rsidRPr="009A18B0">
        <w:rPr>
          <w:rFonts w:cs="Arial"/>
          <w:szCs w:val="20"/>
          <w:lang w:val="en-GB" w:eastAsia="ja-JP"/>
        </w:rPr>
        <w:t xml:space="preserve"> prior to slot n (as defined in clause 8.1.4 of TS 38.214), to determine a set of resources for its own (re)transmission</w:t>
      </w:r>
      <w:r>
        <w:rPr>
          <w:rFonts w:cs="Arial"/>
          <w:szCs w:val="20"/>
          <w:lang w:val="en-GB" w:eastAsia="ja-JP"/>
        </w:rPr>
        <w:t>.</w:t>
      </w:r>
      <w:bookmarkEnd w:id="50"/>
    </w:p>
    <w:p w14:paraId="0D619ACA" w14:textId="5E236DBA" w:rsidR="002507C2" w:rsidRDefault="00680537" w:rsidP="002507C2">
      <w:pPr>
        <w:pStyle w:val="Proposal"/>
        <w:numPr>
          <w:ilvl w:val="0"/>
          <w:numId w:val="14"/>
        </w:numPr>
        <w:rPr>
          <w:lang w:val="en-GB"/>
        </w:rPr>
      </w:pPr>
      <w:bookmarkStart w:id="51" w:name="_Toc118727571"/>
      <w:r>
        <w:rPr>
          <w:lang w:val="en-GB"/>
        </w:rPr>
        <w:t>T is defined using</w:t>
      </w:r>
      <w:bookmarkEnd w:id="51"/>
      <w:r>
        <w:rPr>
          <w:lang w:val="en-GB"/>
        </w:rPr>
        <w:t xml:space="preserve"> </w:t>
      </w:r>
    </w:p>
    <w:p w14:paraId="30D1C65D" w14:textId="29EEF36B" w:rsidR="00680537" w:rsidRPr="00680537" w:rsidRDefault="00680537" w:rsidP="00680537">
      <w:pPr>
        <w:pStyle w:val="Proposal"/>
        <w:numPr>
          <w:ilvl w:val="1"/>
          <w:numId w:val="14"/>
        </w:numPr>
        <w:rPr>
          <w:rFonts w:cs="Arial"/>
          <w:sz w:val="18"/>
          <w:szCs w:val="21"/>
          <w:lang w:val="en-GB"/>
        </w:rPr>
      </w:pPr>
      <w:bookmarkStart w:id="52" w:name="_Toc118727572"/>
      <w:proofErr w:type="spellStart"/>
      <w:r w:rsidRPr="00680537">
        <w:rPr>
          <w:rFonts w:ascii="Times New Roman" w:hAnsi="Times New Roman" w:cs="Times New Roman"/>
          <w:szCs w:val="20"/>
          <w:lang w:val="en-GB"/>
        </w:rPr>
        <w:t>T≤T</w:t>
      </w:r>
      <w:r w:rsidRPr="00680537">
        <w:rPr>
          <w:rFonts w:ascii="Times New Roman" w:hAnsi="Times New Roman" w:cs="Times New Roman"/>
          <w:szCs w:val="20"/>
          <w:vertAlign w:val="subscript"/>
          <w:lang w:val="en-GB"/>
        </w:rPr>
        <w:t>max</w:t>
      </w:r>
      <w:proofErr w:type="spellEnd"/>
      <w:r w:rsidRPr="00680537">
        <w:rPr>
          <w:rFonts w:ascii="Times New Roman" w:hAnsi="Times New Roman" w:cs="Times New Roman"/>
          <w:szCs w:val="20"/>
          <w:lang w:val="en-GB"/>
        </w:rPr>
        <w:t xml:space="preserve"> = 4 </w:t>
      </w:r>
      <w:proofErr w:type="spellStart"/>
      <w:r w:rsidRPr="00680537">
        <w:rPr>
          <w:rFonts w:cs="Arial"/>
          <w:szCs w:val="20"/>
          <w:lang w:val="en-GB"/>
        </w:rPr>
        <w:t>ms</w:t>
      </w:r>
      <w:proofErr w:type="spellEnd"/>
      <w:r w:rsidRPr="00680537">
        <w:rPr>
          <w:rFonts w:cs="Arial"/>
          <w:szCs w:val="16"/>
          <w:lang w:val="en-GB"/>
        </w:rPr>
        <w:t>, and is based on UE implementation, according to the Rel-16 NR SL timeline for in-device coexistence.</w:t>
      </w:r>
      <w:bookmarkEnd w:id="52"/>
    </w:p>
    <w:p w14:paraId="24CF7EA8" w14:textId="77777777" w:rsidR="002507C2" w:rsidRPr="002507C2" w:rsidRDefault="002507C2" w:rsidP="009F6BAA">
      <w:pPr>
        <w:jc w:val="both"/>
        <w:rPr>
          <w:lang w:val="en-GB"/>
        </w:rPr>
      </w:pPr>
    </w:p>
    <w:p w14:paraId="698BB704" w14:textId="484F0AD7" w:rsidR="00250CB5" w:rsidRDefault="00040C68" w:rsidP="00795F23">
      <w:pPr>
        <w:pStyle w:val="Heading2"/>
        <w:rPr>
          <w:rFonts w:eastAsiaTheme="minorHAnsi"/>
        </w:rPr>
      </w:pPr>
      <w:r>
        <w:rPr>
          <w:rFonts w:eastAsiaTheme="minorHAnsi"/>
        </w:rPr>
        <w:t>2</w:t>
      </w:r>
      <w:r w:rsidR="00250CB5">
        <w:rPr>
          <w:rFonts w:eastAsiaTheme="minorHAnsi"/>
        </w:rPr>
        <w:t>.</w:t>
      </w:r>
      <w:r w:rsidR="002D4568">
        <w:rPr>
          <w:rFonts w:eastAsiaTheme="minorHAnsi"/>
        </w:rPr>
        <w:t>3</w:t>
      </w:r>
      <w:r w:rsidR="00250CB5">
        <w:rPr>
          <w:rFonts w:eastAsiaTheme="minorHAnsi"/>
        </w:rPr>
        <w:tab/>
        <w:t>Detection of LTE SL transmissions</w:t>
      </w:r>
    </w:p>
    <w:p w14:paraId="2FF8F304" w14:textId="77777777" w:rsidR="00250CB5" w:rsidRPr="00E11487" w:rsidRDefault="00250CB5" w:rsidP="00250CB5">
      <w:pPr>
        <w:jc w:val="both"/>
        <w:rPr>
          <w:rFonts w:cs="Arial"/>
          <w:szCs w:val="20"/>
          <w:lang w:val="en-GB" w:eastAsia="ja-JP"/>
        </w:rPr>
      </w:pPr>
      <w:r w:rsidRPr="00E11487">
        <w:rPr>
          <w:rFonts w:cs="Arial"/>
          <w:szCs w:val="20"/>
          <w:lang w:val="en-GB" w:eastAsia="ja-JP"/>
        </w:rPr>
        <w:t>Detection of LTE SL transmissions is essential for dynamic LTE SL transmissions. We envision three ways to perform this:</w:t>
      </w:r>
    </w:p>
    <w:p w14:paraId="7C8F9CC4" w14:textId="3EA83CB4" w:rsidR="00250CB5" w:rsidRPr="00E11487" w:rsidRDefault="00250CB5" w:rsidP="00A45730">
      <w:pPr>
        <w:pStyle w:val="ListParagraph"/>
        <w:numPr>
          <w:ilvl w:val="0"/>
          <w:numId w:val="15"/>
        </w:numPr>
        <w:jc w:val="both"/>
        <w:rPr>
          <w:rFonts w:ascii="Arial" w:hAnsi="Arial" w:cs="Arial"/>
          <w:sz w:val="20"/>
          <w:szCs w:val="20"/>
          <w:lang w:val="en-GB" w:eastAsia="ja-JP"/>
        </w:rPr>
      </w:pPr>
      <w:r w:rsidRPr="00E11487">
        <w:rPr>
          <w:rFonts w:ascii="Arial" w:hAnsi="Arial" w:cs="Arial"/>
          <w:sz w:val="20"/>
          <w:szCs w:val="20"/>
          <w:lang w:val="en-GB" w:eastAsia="ja-JP"/>
        </w:rPr>
        <w:t xml:space="preserve">Direct detection. That is, the device </w:t>
      </w:r>
      <w:r w:rsidR="0007139B" w:rsidRPr="00E11487">
        <w:rPr>
          <w:rFonts w:ascii="Arial" w:hAnsi="Arial" w:cs="Arial"/>
          <w:sz w:val="20"/>
          <w:szCs w:val="20"/>
          <w:lang w:val="en-GB" w:eastAsia="ja-JP"/>
        </w:rPr>
        <w:t>can detect</w:t>
      </w:r>
      <w:r w:rsidRPr="00E11487">
        <w:rPr>
          <w:rFonts w:ascii="Arial" w:hAnsi="Arial" w:cs="Arial"/>
          <w:sz w:val="20"/>
          <w:szCs w:val="20"/>
          <w:lang w:val="en-GB" w:eastAsia="ja-JP"/>
        </w:rPr>
        <w:t xml:space="preserve"> LTE SL signals. As said earlier, this is applicable to devices implementing both NR SL and LTE SL and should not be considered as a baseline.</w:t>
      </w:r>
    </w:p>
    <w:p w14:paraId="2C7E13E0" w14:textId="77777777" w:rsidR="00250CB5" w:rsidRPr="00E11487" w:rsidRDefault="00250CB5" w:rsidP="00A45730">
      <w:pPr>
        <w:pStyle w:val="ListParagraph"/>
        <w:numPr>
          <w:ilvl w:val="0"/>
          <w:numId w:val="15"/>
        </w:numPr>
        <w:jc w:val="both"/>
        <w:rPr>
          <w:rFonts w:ascii="Arial" w:hAnsi="Arial" w:cs="Arial"/>
          <w:sz w:val="20"/>
          <w:szCs w:val="20"/>
          <w:lang w:val="en-GB" w:eastAsia="ja-JP"/>
        </w:rPr>
      </w:pPr>
      <w:r w:rsidRPr="00E11487">
        <w:rPr>
          <w:rFonts w:ascii="Arial" w:hAnsi="Arial" w:cs="Arial"/>
          <w:sz w:val="20"/>
          <w:szCs w:val="20"/>
          <w:lang w:val="en-GB" w:eastAsia="ja-JP"/>
        </w:rPr>
        <w:t>Indirect detection. That is, the device detects LTE SL transmissions without decoding the corresponding signals. For example, energy measurements such as RSSI may be used.</w:t>
      </w:r>
    </w:p>
    <w:p w14:paraId="7BCD37D6" w14:textId="77777777" w:rsidR="00250CB5" w:rsidRDefault="00250CB5" w:rsidP="00A45730">
      <w:pPr>
        <w:pStyle w:val="ListParagraph"/>
        <w:numPr>
          <w:ilvl w:val="0"/>
          <w:numId w:val="15"/>
        </w:numPr>
        <w:jc w:val="both"/>
        <w:rPr>
          <w:rFonts w:ascii="Arial" w:hAnsi="Arial" w:cs="Arial"/>
          <w:sz w:val="20"/>
          <w:szCs w:val="20"/>
          <w:lang w:val="en-GB" w:eastAsia="ja-JP"/>
        </w:rPr>
      </w:pPr>
      <w:r w:rsidRPr="00E11487">
        <w:rPr>
          <w:rFonts w:ascii="Arial" w:hAnsi="Arial" w:cs="Arial"/>
          <w:sz w:val="20"/>
          <w:szCs w:val="20"/>
          <w:lang w:val="en-GB" w:eastAsia="ja-JP"/>
        </w:rPr>
        <w:t xml:space="preserve">Explicit signalling. In this case, the device is </w:t>
      </w:r>
      <w:r>
        <w:rPr>
          <w:rFonts w:ascii="Arial" w:hAnsi="Arial" w:cs="Arial"/>
          <w:sz w:val="20"/>
          <w:szCs w:val="20"/>
          <w:lang w:val="en-GB" w:eastAsia="ja-JP"/>
        </w:rPr>
        <w:t xml:space="preserve">informed by others about the presence of LTE SL transmissions. Such signalling could come from another UE, the NW (e.g., a </w:t>
      </w:r>
      <w:proofErr w:type="spellStart"/>
      <w:r>
        <w:rPr>
          <w:rFonts w:ascii="Arial" w:hAnsi="Arial" w:cs="Arial"/>
          <w:sz w:val="20"/>
          <w:szCs w:val="20"/>
          <w:lang w:val="en-GB" w:eastAsia="ja-JP"/>
        </w:rPr>
        <w:t>gNB</w:t>
      </w:r>
      <w:proofErr w:type="spellEnd"/>
      <w:r>
        <w:rPr>
          <w:rFonts w:ascii="Arial" w:hAnsi="Arial" w:cs="Arial"/>
          <w:sz w:val="20"/>
          <w:szCs w:val="20"/>
          <w:lang w:val="en-GB" w:eastAsia="ja-JP"/>
        </w:rPr>
        <w:t>), or OTT.</w:t>
      </w:r>
    </w:p>
    <w:p w14:paraId="0AE4072E" w14:textId="77777777" w:rsidR="00250CB5" w:rsidRDefault="00250CB5" w:rsidP="00250CB5">
      <w:pPr>
        <w:pStyle w:val="ListParagraph"/>
        <w:rPr>
          <w:rFonts w:ascii="Arial" w:hAnsi="Arial" w:cs="Arial"/>
          <w:sz w:val="20"/>
          <w:szCs w:val="20"/>
          <w:lang w:val="en-GB" w:eastAsia="ja-JP"/>
        </w:rPr>
      </w:pPr>
    </w:p>
    <w:p w14:paraId="68F41BB1" w14:textId="77777777" w:rsidR="00250CB5" w:rsidRPr="000948D7" w:rsidRDefault="00250CB5" w:rsidP="00250CB5">
      <w:pPr>
        <w:pStyle w:val="Observation"/>
        <w:ind w:left="1701" w:hanging="1701"/>
        <w:rPr>
          <w:rFonts w:cs="Arial"/>
          <w:szCs w:val="20"/>
          <w:lang w:val="en-GB"/>
        </w:rPr>
      </w:pPr>
      <w:bookmarkStart w:id="53" w:name="_Toc118727585"/>
      <w:r>
        <w:rPr>
          <w:lang w:val="en-GB"/>
        </w:rPr>
        <w:t>Detection of LTE SL transmissions can be direct, indirect or by means of explicit signalling.</w:t>
      </w:r>
      <w:bookmarkEnd w:id="53"/>
    </w:p>
    <w:p w14:paraId="77D7470A" w14:textId="77777777" w:rsidR="00250CB5" w:rsidRDefault="00250CB5" w:rsidP="00250CB5">
      <w:pPr>
        <w:rPr>
          <w:lang w:val="en-GB"/>
        </w:rPr>
      </w:pPr>
      <w:r w:rsidRPr="00E468C8">
        <w:rPr>
          <w:rFonts w:cs="Arial"/>
          <w:szCs w:val="20"/>
          <w:lang w:val="en-GB" w:eastAsia="ja-JP"/>
        </w:rPr>
        <w:t>We believe that RAN1 should study the different alternatives</w:t>
      </w:r>
    </w:p>
    <w:p w14:paraId="18CD407F" w14:textId="77777777" w:rsidR="00250CB5" w:rsidRDefault="00250CB5" w:rsidP="00250CB5">
      <w:pPr>
        <w:pStyle w:val="Proposal"/>
        <w:rPr>
          <w:lang w:val="en-GB"/>
        </w:rPr>
      </w:pPr>
      <w:bookmarkStart w:id="54" w:name="_Toc118727573"/>
      <w:r w:rsidRPr="00721B08">
        <w:t>RAN1</w:t>
      </w:r>
      <w:r>
        <w:rPr>
          <w:lang w:val="en-GB"/>
        </w:rPr>
        <w:t xml:space="preserve"> to study:</w:t>
      </w:r>
      <w:bookmarkEnd w:id="54"/>
      <w:r>
        <w:rPr>
          <w:lang w:val="en-GB"/>
        </w:rPr>
        <w:t xml:space="preserve"> </w:t>
      </w:r>
    </w:p>
    <w:p w14:paraId="15301757" w14:textId="77777777" w:rsidR="00250CB5" w:rsidRDefault="00250CB5" w:rsidP="00A45730">
      <w:pPr>
        <w:pStyle w:val="Proposal"/>
        <w:numPr>
          <w:ilvl w:val="0"/>
          <w:numId w:val="16"/>
        </w:numPr>
        <w:rPr>
          <w:lang w:val="en-GB"/>
        </w:rPr>
      </w:pPr>
      <w:bookmarkStart w:id="55" w:name="_Toc118727574"/>
      <w:r>
        <w:rPr>
          <w:lang w:val="en-GB"/>
        </w:rPr>
        <w:t>I</w:t>
      </w:r>
      <w:r w:rsidRPr="00721B08">
        <w:rPr>
          <w:lang w:val="en-GB"/>
        </w:rPr>
        <w:t>ndirect detection and explicit signalling for detecting LTE SL transmissions without implementing LTE SL features.</w:t>
      </w:r>
      <w:bookmarkEnd w:id="55"/>
    </w:p>
    <w:p w14:paraId="65E0F802" w14:textId="1CDAD634" w:rsidR="00122D89" w:rsidRPr="00CA6640" w:rsidRDefault="00250CB5" w:rsidP="00A45730">
      <w:pPr>
        <w:pStyle w:val="Proposal"/>
        <w:numPr>
          <w:ilvl w:val="0"/>
          <w:numId w:val="16"/>
        </w:numPr>
        <w:rPr>
          <w:lang w:val="en-GB"/>
        </w:rPr>
      </w:pPr>
      <w:bookmarkStart w:id="56" w:name="_Toc118727575"/>
      <w:r>
        <w:rPr>
          <w:lang w:val="en-GB"/>
        </w:rPr>
        <w:t>The use of direct detection, as an optimization, for devices implementing NR SL and LTE SL.</w:t>
      </w:r>
      <w:bookmarkStart w:id="57" w:name="_Toc101962644"/>
      <w:bookmarkStart w:id="58" w:name="_Toc101962670"/>
      <w:bookmarkStart w:id="59" w:name="_Toc101962696"/>
      <w:bookmarkStart w:id="60" w:name="_Toc101962769"/>
      <w:bookmarkStart w:id="61" w:name="_Toc101962781"/>
      <w:bookmarkStart w:id="62" w:name="_Toc101962829"/>
      <w:bookmarkEnd w:id="3"/>
      <w:bookmarkEnd w:id="57"/>
      <w:bookmarkEnd w:id="58"/>
      <w:bookmarkEnd w:id="59"/>
      <w:bookmarkEnd w:id="60"/>
      <w:bookmarkEnd w:id="61"/>
      <w:bookmarkEnd w:id="62"/>
      <w:bookmarkEnd w:id="56"/>
    </w:p>
    <w:p w14:paraId="304F8B02" w14:textId="27E02394" w:rsidR="00C665B2" w:rsidRPr="00C665B2" w:rsidRDefault="005C35A8" w:rsidP="00C665B2">
      <w:r>
        <w:tab/>
      </w:r>
    </w:p>
    <w:p w14:paraId="45E46B3A" w14:textId="5197D5C3" w:rsidR="00844E81" w:rsidRDefault="00040C68" w:rsidP="00844E81">
      <w:pPr>
        <w:pStyle w:val="Heading2"/>
      </w:pPr>
      <w:r>
        <w:t>2</w:t>
      </w:r>
      <w:r w:rsidR="000007BD">
        <w:t xml:space="preserve">.4 </w:t>
      </w:r>
      <w:r w:rsidR="000007BD">
        <w:tab/>
        <w:t>Higher subcarrier spacing</w:t>
      </w:r>
    </w:p>
    <w:p w14:paraId="69D24451" w14:textId="77777777" w:rsidR="00E56363" w:rsidRDefault="00E56363" w:rsidP="00E56363"/>
    <w:p w14:paraId="0B73A194" w14:textId="6BFBDB12" w:rsidR="008D799B" w:rsidRPr="008D799B" w:rsidRDefault="00FF7D77" w:rsidP="00DD2114">
      <w:pPr>
        <w:tabs>
          <w:tab w:val="num" w:pos="720"/>
        </w:tabs>
        <w:jc w:val="both"/>
      </w:pPr>
      <w:r>
        <w:lastRenderedPageBreak/>
        <w:t>As per the agreement in</w:t>
      </w:r>
      <w:r>
        <w:rPr>
          <w:lang w:val="en-GB"/>
        </w:rPr>
        <w:t xml:space="preserve"> RAN1#110 meeting</w:t>
      </w:r>
      <w:r w:rsidR="0087024E">
        <w:rPr>
          <w:lang w:val="en-GB"/>
        </w:rPr>
        <w:t>,</w:t>
      </w:r>
      <w:r>
        <w:t xml:space="preserve"> </w:t>
      </w:r>
      <w:r w:rsidR="0087024E">
        <w:t>t</w:t>
      </w:r>
      <w:r w:rsidR="00541508">
        <w:t xml:space="preserve">here are two aspects </w:t>
      </w:r>
      <w:r w:rsidR="00E25EEC">
        <w:t xml:space="preserve">in the context of </w:t>
      </w:r>
      <w:r w:rsidR="00406FC7">
        <w:t>higher subcarrier spacing</w:t>
      </w:r>
      <w:r w:rsidR="008D799B" w:rsidRPr="003A2359">
        <w:t xml:space="preserve">: a) </w:t>
      </w:r>
      <w:r w:rsidR="009C67A3">
        <w:rPr>
          <w:lang w:val="x-none"/>
        </w:rPr>
        <w:t>whether</w:t>
      </w:r>
      <w:r w:rsidR="008D799B" w:rsidRPr="008D799B">
        <w:rPr>
          <w:lang w:val="x-none"/>
        </w:rPr>
        <w:t xml:space="preserve"> to support higher SCS than 15 kHz in the context of LTE and NL SL coexistence</w:t>
      </w:r>
      <w:r w:rsidR="008D799B" w:rsidRPr="003A2359">
        <w:t xml:space="preserve"> </w:t>
      </w:r>
      <w:r w:rsidR="008D799B">
        <w:t xml:space="preserve">b) </w:t>
      </w:r>
      <w:r w:rsidR="00A44E00">
        <w:t xml:space="preserve">if higher SCS is supported, </w:t>
      </w:r>
      <w:r w:rsidR="00A44E00">
        <w:rPr>
          <w:lang w:val="en-GB"/>
        </w:rPr>
        <w:t>how to</w:t>
      </w:r>
      <w:r w:rsidR="008D799B" w:rsidRPr="008D799B">
        <w:rPr>
          <w:lang w:val="en-GB"/>
        </w:rPr>
        <w:t xml:space="preserve"> resolve AGC issue</w:t>
      </w:r>
      <w:r w:rsidR="0069613A">
        <w:rPr>
          <w:lang w:val="en-GB"/>
        </w:rPr>
        <w:t xml:space="preserve"> cause</w:t>
      </w:r>
      <w:r w:rsidR="00FA7BB1">
        <w:rPr>
          <w:lang w:val="en-GB"/>
        </w:rPr>
        <w:t>d</w:t>
      </w:r>
      <w:r w:rsidR="0069613A">
        <w:rPr>
          <w:lang w:val="en-GB"/>
        </w:rPr>
        <w:t xml:space="preserve"> by the differe</w:t>
      </w:r>
      <w:r w:rsidR="00FA7BB1">
        <w:rPr>
          <w:lang w:val="en-GB"/>
        </w:rPr>
        <w:t>nt SCSs in LTE SL and NR SL</w:t>
      </w:r>
      <w:r w:rsidR="003A2359">
        <w:rPr>
          <w:lang w:val="en-GB"/>
        </w:rPr>
        <w:t xml:space="preserve">. </w:t>
      </w:r>
    </w:p>
    <w:p w14:paraId="543514A5" w14:textId="5CED96F1" w:rsidR="00E56363" w:rsidRPr="0087024E" w:rsidRDefault="00E56363" w:rsidP="00E56363"/>
    <w:tbl>
      <w:tblPr>
        <w:tblStyle w:val="TableGrid"/>
        <w:tblW w:w="0" w:type="auto"/>
        <w:tblInd w:w="137" w:type="dxa"/>
        <w:tblLook w:val="04A0" w:firstRow="1" w:lastRow="0" w:firstColumn="1" w:lastColumn="0" w:noHBand="0" w:noVBand="1"/>
      </w:tblPr>
      <w:tblGrid>
        <w:gridCol w:w="9492"/>
      </w:tblGrid>
      <w:tr w:rsidR="00E56363" w14:paraId="2F09D774" w14:textId="77777777" w:rsidTr="00E55375">
        <w:tc>
          <w:tcPr>
            <w:tcW w:w="9492" w:type="dxa"/>
          </w:tcPr>
          <w:p w14:paraId="141C234F" w14:textId="77777777" w:rsidR="00FC7361" w:rsidRPr="00227D41" w:rsidRDefault="00FC7361" w:rsidP="00FC7361">
            <w:pPr>
              <w:spacing w:after="0" w:line="240" w:lineRule="auto"/>
              <w:rPr>
                <w:rFonts w:eastAsia="Times New Roman" w:cs="Arial"/>
                <w:b/>
                <w:color w:val="000000"/>
                <w:sz w:val="20"/>
                <w:szCs w:val="20"/>
              </w:rPr>
            </w:pPr>
            <w:r w:rsidRPr="00227D41">
              <w:rPr>
                <w:rFonts w:eastAsia="Times New Roman" w:cs="Arial"/>
                <w:b/>
                <w:color w:val="000000"/>
                <w:sz w:val="20"/>
                <w:szCs w:val="20"/>
              </w:rPr>
              <w:t>Agreement</w:t>
            </w:r>
          </w:p>
          <w:p w14:paraId="16833DE2" w14:textId="77777777" w:rsidR="00FC7361" w:rsidRPr="00227D41" w:rsidRDefault="00FC7361" w:rsidP="00A45730">
            <w:pPr>
              <w:numPr>
                <w:ilvl w:val="0"/>
                <w:numId w:val="35"/>
              </w:numPr>
              <w:tabs>
                <w:tab w:val="clear" w:pos="720"/>
                <w:tab w:val="num" w:pos="450"/>
              </w:tabs>
              <w:spacing w:after="0" w:line="240" w:lineRule="auto"/>
              <w:ind w:left="360"/>
              <w:jc w:val="both"/>
              <w:rPr>
                <w:rFonts w:eastAsia="Times New Roman" w:cs="Arial"/>
                <w:color w:val="000000"/>
                <w:sz w:val="20"/>
                <w:szCs w:val="20"/>
              </w:rPr>
            </w:pPr>
            <w:r w:rsidRPr="00227D41">
              <w:rPr>
                <w:rFonts w:eastAsia="Times New Roman" w:cs="Arial"/>
                <w:color w:val="000000"/>
                <w:sz w:val="20"/>
                <w:szCs w:val="20"/>
              </w:rPr>
              <w:t>For co-channel coexistence in Rel-18, dynamic resource pool sharing is studied, with the following constraints:</w:t>
            </w:r>
          </w:p>
          <w:p w14:paraId="43E9B2B6" w14:textId="77777777" w:rsidR="00FC7361" w:rsidRPr="00227D41" w:rsidRDefault="00FC7361" w:rsidP="00A45730">
            <w:pPr>
              <w:pStyle w:val="ListParagraph"/>
              <w:numPr>
                <w:ilvl w:val="1"/>
                <w:numId w:val="34"/>
              </w:numPr>
              <w:spacing w:line="280" w:lineRule="atLeast"/>
              <w:ind w:left="720"/>
              <w:contextualSpacing/>
              <w:jc w:val="both"/>
              <w:rPr>
                <w:rFonts w:ascii="Arial" w:hAnsi="Arial" w:cs="Arial"/>
                <w:color w:val="000000" w:themeColor="text1"/>
                <w:sz w:val="20"/>
                <w:szCs w:val="20"/>
              </w:rPr>
            </w:pPr>
            <w:r w:rsidRPr="00227D41">
              <w:rPr>
                <w:rFonts w:ascii="Arial" w:hAnsi="Arial" w:cs="Arial"/>
                <w:color w:val="000000" w:themeColor="text1"/>
                <w:sz w:val="20"/>
                <w:szCs w:val="20"/>
              </w:rPr>
              <w:t>NR SL resource pool is configured with 15 kHz SCS.</w:t>
            </w:r>
          </w:p>
          <w:p w14:paraId="7779BF03" w14:textId="77777777" w:rsidR="00FC7361" w:rsidRPr="00372386" w:rsidRDefault="00FC7361" w:rsidP="00A45730">
            <w:pPr>
              <w:numPr>
                <w:ilvl w:val="1"/>
                <w:numId w:val="35"/>
              </w:numPr>
              <w:tabs>
                <w:tab w:val="clear" w:pos="1440"/>
                <w:tab w:val="num" w:pos="1080"/>
              </w:tabs>
              <w:spacing w:after="0" w:line="280" w:lineRule="atLeast"/>
              <w:ind w:left="1080"/>
              <w:jc w:val="both"/>
              <w:rPr>
                <w:rFonts w:eastAsia="Times New Roman" w:cs="Arial"/>
                <w:color w:val="000000"/>
                <w:sz w:val="20"/>
                <w:szCs w:val="20"/>
              </w:rPr>
            </w:pPr>
            <w:r w:rsidRPr="00372386">
              <w:rPr>
                <w:rFonts w:eastAsia="Times New Roman" w:cs="Arial"/>
                <w:color w:val="000000"/>
                <w:sz w:val="20"/>
                <w:szCs w:val="20"/>
              </w:rPr>
              <w:t>FFS support of NR SL resource pool configured with higher SCS, including other solutions to overcome the AGC issue caused by the differing SCSs between the NR SL and LTE SL resource pools</w:t>
            </w:r>
          </w:p>
          <w:p w14:paraId="14A1E08F" w14:textId="77777777" w:rsidR="00FC7361" w:rsidRPr="00227D41" w:rsidRDefault="00FC7361" w:rsidP="00A45730">
            <w:pPr>
              <w:pStyle w:val="ListParagraph"/>
              <w:numPr>
                <w:ilvl w:val="1"/>
                <w:numId w:val="34"/>
              </w:numPr>
              <w:spacing w:line="280" w:lineRule="atLeast"/>
              <w:ind w:left="720"/>
              <w:contextualSpacing/>
              <w:jc w:val="both"/>
              <w:rPr>
                <w:rFonts w:ascii="Arial" w:hAnsi="Arial" w:cs="Arial"/>
                <w:color w:val="000000" w:themeColor="text1"/>
                <w:sz w:val="20"/>
                <w:szCs w:val="20"/>
              </w:rPr>
            </w:pPr>
            <w:r w:rsidRPr="00227D41">
              <w:rPr>
                <w:rFonts w:ascii="Arial" w:hAnsi="Arial" w:cs="Arial"/>
                <w:color w:val="000000" w:themeColor="text1"/>
                <w:sz w:val="20"/>
                <w:szCs w:val="20"/>
              </w:rPr>
              <w:t>For NR PSFCH (if configured), at least the following alternatives are studied:</w:t>
            </w:r>
          </w:p>
          <w:p w14:paraId="21309B34" w14:textId="77777777" w:rsidR="00FC7361" w:rsidRPr="00227D41" w:rsidRDefault="00FC7361" w:rsidP="00A45730">
            <w:pPr>
              <w:numPr>
                <w:ilvl w:val="1"/>
                <w:numId w:val="35"/>
              </w:numPr>
              <w:tabs>
                <w:tab w:val="clear" w:pos="1440"/>
                <w:tab w:val="num" w:pos="1080"/>
              </w:tabs>
              <w:spacing w:after="0" w:line="280" w:lineRule="atLeast"/>
              <w:ind w:left="1080"/>
              <w:jc w:val="both"/>
              <w:rPr>
                <w:rFonts w:eastAsia="Times New Roman" w:cs="Arial"/>
                <w:color w:val="000000"/>
                <w:sz w:val="20"/>
                <w:szCs w:val="20"/>
              </w:rPr>
            </w:pPr>
            <w:r w:rsidRPr="00227D41">
              <w:rPr>
                <w:rFonts w:eastAsia="Times New Roman" w:cs="Arial"/>
                <w:color w:val="000000"/>
                <w:sz w:val="20"/>
                <w:szCs w:val="20"/>
              </w:rPr>
              <w:t>Alt 1: Avoid PSFCH transmission in time slots that overlap with subframes used for LTE SL transmissions.</w:t>
            </w:r>
          </w:p>
          <w:p w14:paraId="60BED7C8" w14:textId="77777777" w:rsidR="00FC7361" w:rsidRPr="00227D41" w:rsidRDefault="00FC7361" w:rsidP="00A45730">
            <w:pPr>
              <w:numPr>
                <w:ilvl w:val="2"/>
                <w:numId w:val="35"/>
              </w:numPr>
              <w:tabs>
                <w:tab w:val="clear" w:pos="2160"/>
                <w:tab w:val="num" w:pos="1800"/>
              </w:tabs>
              <w:spacing w:after="0" w:line="280" w:lineRule="atLeast"/>
              <w:ind w:left="1415"/>
              <w:jc w:val="both"/>
              <w:rPr>
                <w:rFonts w:eastAsia="Times New Roman" w:cs="Arial"/>
                <w:color w:val="000000"/>
                <w:sz w:val="20"/>
                <w:szCs w:val="20"/>
              </w:rPr>
            </w:pPr>
            <w:r w:rsidRPr="00227D41">
              <w:rPr>
                <w:rFonts w:eastAsia="Times New Roman" w:cs="Arial"/>
                <w:color w:val="000000"/>
                <w:sz w:val="20"/>
                <w:szCs w:val="20"/>
              </w:rPr>
              <w:t>FFS: Avoiding PSFCH transmissions can be performed by the UE transmitting PSFCH and/or the UE transmitting PSSCH.</w:t>
            </w:r>
          </w:p>
          <w:p w14:paraId="1468EED9" w14:textId="77777777" w:rsidR="00FC7361" w:rsidRPr="00227D41" w:rsidRDefault="00FC7361" w:rsidP="00A45730">
            <w:pPr>
              <w:numPr>
                <w:ilvl w:val="1"/>
                <w:numId w:val="35"/>
              </w:numPr>
              <w:tabs>
                <w:tab w:val="clear" w:pos="1440"/>
                <w:tab w:val="num" w:pos="1080"/>
              </w:tabs>
              <w:spacing w:after="0" w:line="280" w:lineRule="atLeast"/>
              <w:ind w:left="1080"/>
              <w:jc w:val="both"/>
              <w:rPr>
                <w:rFonts w:eastAsia="Times New Roman" w:cs="Arial"/>
                <w:color w:val="000000"/>
                <w:sz w:val="20"/>
                <w:szCs w:val="20"/>
              </w:rPr>
            </w:pPr>
            <w:r w:rsidRPr="00227D41">
              <w:rPr>
                <w:rFonts w:eastAsia="Times New Roman" w:cs="Arial"/>
                <w:color w:val="000000"/>
                <w:sz w:val="20"/>
                <w:szCs w:val="20"/>
              </w:rPr>
              <w:t>Alt 2: NR SL UEs use a periodically repeating set of PSFCH slots.</w:t>
            </w:r>
          </w:p>
          <w:p w14:paraId="09E9EA66" w14:textId="698B73C5" w:rsidR="00E56363" w:rsidRPr="002D24DF" w:rsidRDefault="00FC7361" w:rsidP="00A45730">
            <w:pPr>
              <w:numPr>
                <w:ilvl w:val="2"/>
                <w:numId w:val="35"/>
              </w:numPr>
              <w:tabs>
                <w:tab w:val="clear" w:pos="2160"/>
                <w:tab w:val="num" w:pos="1800"/>
              </w:tabs>
              <w:spacing w:after="0" w:line="280" w:lineRule="atLeast"/>
              <w:ind w:left="1415"/>
              <w:jc w:val="both"/>
              <w:rPr>
                <w:rFonts w:eastAsia="Times New Roman" w:cs="Arial"/>
                <w:color w:val="000000"/>
                <w:sz w:val="20"/>
                <w:szCs w:val="20"/>
              </w:rPr>
            </w:pPr>
            <w:r w:rsidRPr="00227D41">
              <w:rPr>
                <w:rFonts w:eastAsia="Times New Roman" w:cs="Arial"/>
                <w:color w:val="000000"/>
                <w:sz w:val="20"/>
                <w:szCs w:val="20"/>
              </w:rPr>
              <w:t>FFS: periodicities of the set.</w:t>
            </w:r>
          </w:p>
          <w:p w14:paraId="6DD21202" w14:textId="77777777" w:rsidR="00E56363" w:rsidRPr="00C1622D" w:rsidRDefault="00E56363" w:rsidP="005917C2">
            <w:pPr>
              <w:spacing w:after="0"/>
              <w:ind w:left="1440"/>
              <w:jc w:val="both"/>
              <w:rPr>
                <w:rFonts w:ascii="Times New Roman" w:eastAsia="MS Mincho" w:hAnsi="Times New Roman" w:cs="Times New Roman"/>
                <w:sz w:val="20"/>
                <w:szCs w:val="24"/>
                <w:lang w:val="en-GB" w:eastAsia="x-none"/>
              </w:rPr>
            </w:pPr>
          </w:p>
        </w:tc>
      </w:tr>
    </w:tbl>
    <w:p w14:paraId="076C9F7A" w14:textId="77777777" w:rsidR="00010D1D" w:rsidRDefault="00010D1D" w:rsidP="00010D1D">
      <w:pPr>
        <w:rPr>
          <w:lang w:eastAsia="ja-JP"/>
        </w:rPr>
      </w:pPr>
    </w:p>
    <w:p w14:paraId="690022F7" w14:textId="77777777" w:rsidR="00247FE2" w:rsidRDefault="00BD3F34" w:rsidP="00DA4D3F">
      <w:pPr>
        <w:jc w:val="both"/>
        <w:rPr>
          <w:rFonts w:cs="Arial"/>
          <w:szCs w:val="20"/>
        </w:rPr>
      </w:pPr>
      <w:r>
        <w:rPr>
          <w:lang w:eastAsia="ja-JP"/>
        </w:rPr>
        <w:t xml:space="preserve">Before </w:t>
      </w:r>
      <w:r w:rsidR="00C71B4D">
        <w:rPr>
          <w:lang w:eastAsia="ja-JP"/>
        </w:rPr>
        <w:t xml:space="preserve">highlighting the </w:t>
      </w:r>
      <w:r w:rsidR="002F3479">
        <w:rPr>
          <w:lang w:eastAsia="ja-JP"/>
        </w:rPr>
        <w:t xml:space="preserve">limitations of solutions for </w:t>
      </w:r>
      <w:r w:rsidR="008E39D0">
        <w:rPr>
          <w:lang w:eastAsia="ja-JP"/>
        </w:rPr>
        <w:t xml:space="preserve">AGC issues due to the </w:t>
      </w:r>
      <w:r w:rsidR="00470243">
        <w:rPr>
          <w:lang w:eastAsia="ja-JP"/>
        </w:rPr>
        <w:t>difference between SCS</w:t>
      </w:r>
      <w:r w:rsidR="00270F73">
        <w:rPr>
          <w:lang w:eastAsia="ja-JP"/>
        </w:rPr>
        <w:t>s of LTE SL and NR SL</w:t>
      </w:r>
      <w:r w:rsidR="00C0081C">
        <w:rPr>
          <w:lang w:eastAsia="ja-JP"/>
        </w:rPr>
        <w:t xml:space="preserve">, it is worth to </w:t>
      </w:r>
      <w:r w:rsidR="00DA4D3F">
        <w:rPr>
          <w:lang w:eastAsia="ja-JP"/>
        </w:rPr>
        <w:t xml:space="preserve">recall from 3GPP TS 38.331 that </w:t>
      </w:r>
      <w:r w:rsidR="00DA4D3F" w:rsidRPr="00F11388">
        <w:rPr>
          <w:lang w:val="x-none" w:eastAsia="ja-JP"/>
        </w:rPr>
        <w:t>within the information element (IE) of SidelinkPreconfigNR-r16, only one SL-</w:t>
      </w:r>
      <w:proofErr w:type="spellStart"/>
      <w:r w:rsidR="00DA4D3F" w:rsidRPr="00F11388">
        <w:rPr>
          <w:lang w:val="x-none" w:eastAsia="ja-JP"/>
        </w:rPr>
        <w:t>FreqConfig</w:t>
      </w:r>
      <w:proofErr w:type="spellEnd"/>
      <w:r w:rsidR="00DA4D3F" w:rsidRPr="00F11388">
        <w:rPr>
          <w:lang w:val="x-none" w:eastAsia="ja-JP"/>
        </w:rPr>
        <w:t xml:space="preserve"> can be configured in the list. Further, within the IE of SL-FreqConfig-r16, only one BWP is allowed to be configured for NR </w:t>
      </w:r>
      <w:proofErr w:type="spellStart"/>
      <w:r w:rsidR="00DA4D3F" w:rsidRPr="00F11388">
        <w:rPr>
          <w:lang w:val="x-none" w:eastAsia="ja-JP"/>
        </w:rPr>
        <w:t>sidelink</w:t>
      </w:r>
      <w:proofErr w:type="spellEnd"/>
      <w:r w:rsidR="00DA4D3F" w:rsidRPr="00F11388">
        <w:rPr>
          <w:lang w:val="x-none" w:eastAsia="ja-JP"/>
        </w:rPr>
        <w:t xml:space="preserve"> communication and only one SCS-</w:t>
      </w:r>
      <w:proofErr w:type="spellStart"/>
      <w:r w:rsidR="00DA4D3F" w:rsidRPr="00F11388">
        <w:rPr>
          <w:lang w:val="x-none" w:eastAsia="ja-JP"/>
        </w:rPr>
        <w:t>SpecificCarrier</w:t>
      </w:r>
      <w:proofErr w:type="spellEnd"/>
      <w:r w:rsidR="00DA4D3F" w:rsidRPr="00F11388">
        <w:rPr>
          <w:lang w:val="x-none" w:eastAsia="ja-JP"/>
        </w:rPr>
        <w:t xml:space="preserve"> is allowed to be configured for NR </w:t>
      </w:r>
      <w:proofErr w:type="spellStart"/>
      <w:r w:rsidR="00DA4D3F" w:rsidRPr="00F11388">
        <w:rPr>
          <w:lang w:val="x-none" w:eastAsia="ja-JP"/>
        </w:rPr>
        <w:t>sidelink</w:t>
      </w:r>
      <w:proofErr w:type="spellEnd"/>
      <w:r w:rsidR="00DA4D3F" w:rsidRPr="00F11388">
        <w:rPr>
          <w:lang w:val="x-none" w:eastAsia="ja-JP"/>
        </w:rPr>
        <w:t xml:space="preserve"> communication. Altogether, there exist only one SCS and BWP combination in operation, and it is not possible to support two </w:t>
      </w:r>
      <w:proofErr w:type="spellStart"/>
      <w:r w:rsidR="00DA4D3F" w:rsidRPr="00F11388">
        <w:rPr>
          <w:lang w:val="x-none" w:eastAsia="ja-JP"/>
        </w:rPr>
        <w:t>SCSs</w:t>
      </w:r>
      <w:proofErr w:type="spellEnd"/>
      <w:r w:rsidR="00DA4D3F" w:rsidRPr="00F11388">
        <w:rPr>
          <w:lang w:val="x-none" w:eastAsia="ja-JP"/>
        </w:rPr>
        <w:t>, e.g., 15 kH</w:t>
      </w:r>
      <w:r w:rsidR="00DA4D3F" w:rsidRPr="00086D50">
        <w:rPr>
          <w:lang w:eastAsia="ja-JP"/>
        </w:rPr>
        <w:t>z</w:t>
      </w:r>
      <w:r w:rsidR="00DA4D3F" w:rsidRPr="00F11388">
        <w:rPr>
          <w:lang w:val="x-none" w:eastAsia="ja-JP"/>
        </w:rPr>
        <w:t xml:space="preserve"> and 30 kHz on the same BWP in NR </w:t>
      </w:r>
      <w:proofErr w:type="spellStart"/>
      <w:r w:rsidR="00DA4D3F" w:rsidRPr="00F11388">
        <w:rPr>
          <w:lang w:val="x-none" w:eastAsia="ja-JP"/>
        </w:rPr>
        <w:t>sidelink</w:t>
      </w:r>
      <w:proofErr w:type="spellEnd"/>
      <w:r w:rsidR="00DA4D3F" w:rsidRPr="00F11388">
        <w:rPr>
          <w:lang w:val="x-none" w:eastAsia="ja-JP"/>
        </w:rPr>
        <w:t xml:space="preserve">. </w:t>
      </w:r>
      <w:r w:rsidR="00D865F2" w:rsidRPr="00EE339B">
        <w:rPr>
          <w:lang w:eastAsia="ja-JP"/>
        </w:rPr>
        <w:t>Also,</w:t>
      </w:r>
      <w:r w:rsidR="004B0D9C">
        <w:rPr>
          <w:lang w:eastAsia="ja-JP"/>
        </w:rPr>
        <w:t xml:space="preserve"> framework for </w:t>
      </w:r>
      <w:r w:rsidR="00D865F2" w:rsidRPr="00EE339B">
        <w:rPr>
          <w:lang w:eastAsia="ja-JP"/>
        </w:rPr>
        <w:t xml:space="preserve">the coexistence of NR SL with </w:t>
      </w:r>
      <w:r w:rsidR="00B62277" w:rsidRPr="00EE339B">
        <w:rPr>
          <w:lang w:eastAsia="ja-JP"/>
        </w:rPr>
        <w:t>15 k</w:t>
      </w:r>
      <w:r w:rsidR="00B62277">
        <w:rPr>
          <w:lang w:eastAsia="ja-JP"/>
        </w:rPr>
        <w:t>Hz</w:t>
      </w:r>
      <w:r w:rsidR="0029403D">
        <w:rPr>
          <w:lang w:eastAsia="ja-JP"/>
        </w:rPr>
        <w:t xml:space="preserve"> and LTE SL with 15 kHz </w:t>
      </w:r>
      <w:r w:rsidR="00EE339B">
        <w:rPr>
          <w:lang w:eastAsia="ja-JP"/>
        </w:rPr>
        <w:t xml:space="preserve">is still being discussed, which </w:t>
      </w:r>
      <w:r w:rsidR="0029403D">
        <w:rPr>
          <w:lang w:eastAsia="ja-JP"/>
        </w:rPr>
        <w:t xml:space="preserve">cannot be straightforwardly applied for the coexistence of NR SL with 30 kHz and LTE SL with 15 kHz. </w:t>
      </w:r>
      <w:r w:rsidR="00B62277">
        <w:rPr>
          <w:lang w:eastAsia="ja-JP"/>
        </w:rPr>
        <w:t xml:space="preserve"> </w:t>
      </w:r>
      <w:r w:rsidR="001D25F0">
        <w:rPr>
          <w:lang w:eastAsia="ja-JP"/>
        </w:rPr>
        <w:t xml:space="preserve">Specifically, </w:t>
      </w:r>
      <w:r w:rsidR="00260523" w:rsidRPr="001169BE">
        <w:rPr>
          <w:rFonts w:cs="Arial"/>
          <w:szCs w:val="20"/>
        </w:rPr>
        <w:t>there would be AGC issues due to the different SCS</w:t>
      </w:r>
      <w:r w:rsidR="008D4D62">
        <w:rPr>
          <w:rFonts w:cs="Arial"/>
          <w:szCs w:val="20"/>
        </w:rPr>
        <w:t>s</w:t>
      </w:r>
      <w:r w:rsidR="00260523" w:rsidRPr="001169BE">
        <w:rPr>
          <w:rFonts w:cs="Arial"/>
          <w:szCs w:val="20"/>
        </w:rPr>
        <w:t xml:space="preserve"> in LTE SL and in NR SL</w:t>
      </w:r>
      <w:r w:rsidR="005C379A">
        <w:rPr>
          <w:rFonts w:cs="Arial"/>
          <w:szCs w:val="20"/>
        </w:rPr>
        <w:t xml:space="preserve">. </w:t>
      </w:r>
    </w:p>
    <w:p w14:paraId="05695517" w14:textId="25CDF36B" w:rsidR="00BD3F34" w:rsidRPr="00ED03DD" w:rsidRDefault="005C379A" w:rsidP="00DA4D3F">
      <w:pPr>
        <w:jc w:val="both"/>
        <w:rPr>
          <w:rFonts w:cs="Arial"/>
          <w:szCs w:val="20"/>
        </w:rPr>
      </w:pPr>
      <w:r>
        <w:rPr>
          <w:rFonts w:cs="Arial"/>
          <w:szCs w:val="20"/>
        </w:rPr>
        <w:t xml:space="preserve">While </w:t>
      </w:r>
      <w:r w:rsidR="008D4D62">
        <w:rPr>
          <w:rFonts w:cs="Arial"/>
          <w:szCs w:val="20"/>
        </w:rPr>
        <w:t xml:space="preserve">different </w:t>
      </w:r>
      <w:r w:rsidR="003036D5">
        <w:rPr>
          <w:rFonts w:cs="Arial"/>
          <w:szCs w:val="20"/>
        </w:rPr>
        <w:t>options were discussed in the previous meeting</w:t>
      </w:r>
      <w:r>
        <w:rPr>
          <w:rFonts w:cs="Arial"/>
          <w:szCs w:val="20"/>
        </w:rPr>
        <w:t>, each option has its own limitation</w:t>
      </w:r>
      <w:r w:rsidR="00281B6A">
        <w:rPr>
          <w:rFonts w:cs="Arial"/>
          <w:szCs w:val="20"/>
        </w:rPr>
        <w:t xml:space="preserve"> as summarized b</w:t>
      </w:r>
      <w:r w:rsidR="00C03598">
        <w:rPr>
          <w:rFonts w:cs="Arial"/>
          <w:szCs w:val="20"/>
        </w:rPr>
        <w:t>e</w:t>
      </w:r>
      <w:r w:rsidR="00ED03DD">
        <w:rPr>
          <w:rFonts w:cs="Arial"/>
          <w:szCs w:val="20"/>
        </w:rPr>
        <w:t>low:</w:t>
      </w:r>
    </w:p>
    <w:p w14:paraId="4CC49A5F" w14:textId="3DDAF069" w:rsidR="0033603D" w:rsidRPr="001169BE" w:rsidRDefault="00593727" w:rsidP="004F20AE">
      <w:pPr>
        <w:pStyle w:val="ListParagraph"/>
        <w:numPr>
          <w:ilvl w:val="0"/>
          <w:numId w:val="36"/>
        </w:numPr>
        <w:jc w:val="both"/>
        <w:rPr>
          <w:rFonts w:ascii="Arial" w:hAnsi="Arial" w:cs="Arial"/>
          <w:sz w:val="20"/>
          <w:szCs w:val="20"/>
        </w:rPr>
      </w:pPr>
      <w:r w:rsidRPr="001169BE">
        <w:rPr>
          <w:rFonts w:ascii="Arial" w:hAnsi="Arial" w:cs="Arial"/>
          <w:sz w:val="20"/>
          <w:szCs w:val="20"/>
        </w:rPr>
        <w:t xml:space="preserve">Use of multi-slot transmissions or slot aggregation, where the NR SL transmissions of higher </w:t>
      </w:r>
      <w:proofErr w:type="spellStart"/>
      <w:r w:rsidRPr="001169BE">
        <w:rPr>
          <w:rFonts w:ascii="Arial" w:hAnsi="Arial" w:cs="Arial"/>
          <w:sz w:val="20"/>
          <w:szCs w:val="20"/>
        </w:rPr>
        <w:t>SCSs</w:t>
      </w:r>
      <w:proofErr w:type="spellEnd"/>
      <w:r w:rsidRPr="001169BE">
        <w:rPr>
          <w:rFonts w:ascii="Arial" w:hAnsi="Arial" w:cs="Arial"/>
          <w:sz w:val="20"/>
          <w:szCs w:val="20"/>
        </w:rPr>
        <w:t xml:space="preserve"> occupy all symbols (across multiple time slots) within a LTE SL subframe of 15 kHz at least when the NR SL transmission overlaps an LTE SL transmission</w:t>
      </w:r>
      <w:r w:rsidR="00B535D2" w:rsidRPr="001169BE">
        <w:rPr>
          <w:rFonts w:ascii="Arial" w:hAnsi="Arial" w:cs="Arial"/>
          <w:sz w:val="20"/>
          <w:szCs w:val="20"/>
        </w:rPr>
        <w:t xml:space="preserve"> (cf. option 1 in [2])</w:t>
      </w:r>
      <w:r w:rsidRPr="001169BE">
        <w:rPr>
          <w:rFonts w:ascii="Arial" w:hAnsi="Arial" w:cs="Arial"/>
          <w:sz w:val="20"/>
          <w:szCs w:val="20"/>
        </w:rPr>
        <w:t>.</w:t>
      </w:r>
      <w:r w:rsidR="00623A1E" w:rsidRPr="001169BE">
        <w:rPr>
          <w:rFonts w:ascii="Arial" w:hAnsi="Arial" w:cs="Arial"/>
          <w:sz w:val="20"/>
          <w:szCs w:val="20"/>
        </w:rPr>
        <w:t xml:space="preserve"> </w:t>
      </w:r>
      <w:r w:rsidR="009C5CDF" w:rsidRPr="001169BE">
        <w:rPr>
          <w:rFonts w:ascii="Arial" w:hAnsi="Arial" w:cs="Arial"/>
          <w:sz w:val="20"/>
          <w:szCs w:val="20"/>
        </w:rPr>
        <w:t>For 30 kH</w:t>
      </w:r>
      <w:r w:rsidR="00247FE2">
        <w:rPr>
          <w:rFonts w:ascii="Arial" w:hAnsi="Arial" w:cs="Arial"/>
          <w:sz w:val="20"/>
          <w:szCs w:val="20"/>
          <w:lang w:val="en-US"/>
        </w:rPr>
        <w:t>z</w:t>
      </w:r>
      <w:r w:rsidR="009C5CDF" w:rsidRPr="001169BE">
        <w:rPr>
          <w:rFonts w:ascii="Arial" w:hAnsi="Arial" w:cs="Arial"/>
          <w:sz w:val="20"/>
          <w:szCs w:val="20"/>
        </w:rPr>
        <w:t xml:space="preserve"> SCS, o</w:t>
      </w:r>
      <w:r w:rsidR="0018291D" w:rsidRPr="001169BE">
        <w:rPr>
          <w:rFonts w:ascii="Arial" w:hAnsi="Arial" w:cs="Arial"/>
          <w:sz w:val="20"/>
          <w:szCs w:val="20"/>
        </w:rPr>
        <w:t xml:space="preserve">ne way to utilize multi slot transmissions is to </w:t>
      </w:r>
      <w:r w:rsidR="001D6DB8" w:rsidRPr="001169BE">
        <w:rPr>
          <w:rFonts w:ascii="Arial" w:hAnsi="Arial" w:cs="Arial"/>
          <w:sz w:val="20"/>
          <w:szCs w:val="20"/>
        </w:rPr>
        <w:t xml:space="preserve">schedule </w:t>
      </w:r>
      <w:r w:rsidR="0018291D" w:rsidRPr="001169BE">
        <w:rPr>
          <w:rFonts w:ascii="Arial" w:hAnsi="Arial" w:cs="Arial"/>
          <w:sz w:val="20"/>
          <w:szCs w:val="20"/>
        </w:rPr>
        <w:t>two transport blocks</w:t>
      </w:r>
      <w:r w:rsidR="00DC52DC" w:rsidRPr="003465BB">
        <w:rPr>
          <w:rFonts w:ascii="Arial" w:hAnsi="Arial" w:cs="Arial"/>
          <w:sz w:val="20"/>
          <w:szCs w:val="20"/>
          <w:lang w:val="en-US"/>
        </w:rPr>
        <w:t xml:space="preserve"> </w:t>
      </w:r>
      <w:r w:rsidR="00DC52DC">
        <w:rPr>
          <w:rFonts w:ascii="Arial" w:hAnsi="Arial" w:cs="Arial"/>
          <w:sz w:val="20"/>
          <w:szCs w:val="20"/>
          <w:lang w:val="en-US"/>
        </w:rPr>
        <w:t>(</w:t>
      </w:r>
      <w:proofErr w:type="spellStart"/>
      <w:r w:rsidR="003465BB">
        <w:rPr>
          <w:rFonts w:ascii="Arial" w:hAnsi="Arial" w:cs="Arial"/>
          <w:sz w:val="20"/>
          <w:szCs w:val="20"/>
          <w:lang w:val="en-US"/>
        </w:rPr>
        <w:t>MCSt</w:t>
      </w:r>
      <w:proofErr w:type="spellEnd"/>
      <w:r w:rsidR="003465BB">
        <w:rPr>
          <w:rFonts w:ascii="Arial" w:hAnsi="Arial" w:cs="Arial"/>
          <w:sz w:val="20"/>
          <w:szCs w:val="20"/>
          <w:lang w:val="en-US"/>
        </w:rPr>
        <w:t>)</w:t>
      </w:r>
      <w:r w:rsidR="0018291D" w:rsidRPr="001169BE">
        <w:rPr>
          <w:rFonts w:ascii="Arial" w:hAnsi="Arial" w:cs="Arial"/>
          <w:sz w:val="20"/>
          <w:szCs w:val="20"/>
        </w:rPr>
        <w:t xml:space="preserve"> </w:t>
      </w:r>
      <w:r w:rsidR="001D6DB8" w:rsidRPr="001169BE">
        <w:rPr>
          <w:rFonts w:ascii="Arial" w:hAnsi="Arial" w:cs="Arial"/>
          <w:sz w:val="20"/>
          <w:szCs w:val="20"/>
        </w:rPr>
        <w:t xml:space="preserve">in two adjacent slots such that </w:t>
      </w:r>
      <w:r w:rsidR="001F5AAC" w:rsidRPr="001169BE">
        <w:rPr>
          <w:rFonts w:ascii="Arial" w:hAnsi="Arial" w:cs="Arial"/>
          <w:sz w:val="20"/>
          <w:szCs w:val="20"/>
        </w:rPr>
        <w:t>they align with one subframe of LTE SL.</w:t>
      </w:r>
      <w:r w:rsidR="00392DD8" w:rsidRPr="001169BE">
        <w:rPr>
          <w:rFonts w:ascii="Arial" w:hAnsi="Arial" w:cs="Arial"/>
          <w:sz w:val="20"/>
          <w:szCs w:val="20"/>
        </w:rPr>
        <w:t xml:space="preserve"> </w:t>
      </w:r>
      <w:r w:rsidR="00C86488" w:rsidRPr="00C86488">
        <w:rPr>
          <w:rFonts w:ascii="Arial" w:hAnsi="Arial" w:cs="Arial"/>
          <w:sz w:val="20"/>
          <w:szCs w:val="20"/>
          <w:lang w:val="en-US"/>
        </w:rPr>
        <w:t>But</w:t>
      </w:r>
      <w:r w:rsidR="00547CCC" w:rsidRPr="00C86488">
        <w:rPr>
          <w:rFonts w:ascii="Arial" w:hAnsi="Arial" w:cs="Arial"/>
          <w:sz w:val="20"/>
          <w:szCs w:val="20"/>
          <w:lang w:val="en-US"/>
        </w:rPr>
        <w:t xml:space="preserve"> t</w:t>
      </w:r>
      <w:r w:rsidR="00615B67">
        <w:rPr>
          <w:rFonts w:ascii="Arial" w:hAnsi="Arial" w:cs="Arial"/>
          <w:sz w:val="20"/>
          <w:szCs w:val="20"/>
          <w:lang w:val="en-US"/>
        </w:rPr>
        <w:t xml:space="preserve">his is not a standalone </w:t>
      </w:r>
      <w:r w:rsidR="00C86488">
        <w:rPr>
          <w:rFonts w:ascii="Arial" w:hAnsi="Arial" w:cs="Arial"/>
          <w:sz w:val="20"/>
          <w:szCs w:val="20"/>
          <w:lang w:val="en-US"/>
        </w:rPr>
        <w:t>solution,</w:t>
      </w:r>
      <w:r w:rsidR="00615B67">
        <w:rPr>
          <w:rFonts w:ascii="Arial" w:hAnsi="Arial" w:cs="Arial"/>
          <w:sz w:val="20"/>
          <w:szCs w:val="20"/>
          <w:lang w:val="en-US"/>
        </w:rPr>
        <w:t xml:space="preserve"> </w:t>
      </w:r>
      <w:r w:rsidR="00C86488">
        <w:rPr>
          <w:rFonts w:ascii="Arial" w:hAnsi="Arial" w:cs="Arial"/>
          <w:sz w:val="20"/>
          <w:szCs w:val="20"/>
          <w:lang w:val="en-US"/>
        </w:rPr>
        <w:t xml:space="preserve">and the UE must have sufficient data in the buffer to use two HARQ processes. </w:t>
      </w:r>
      <w:r w:rsidR="00C86488" w:rsidRPr="00C86488">
        <w:rPr>
          <w:rFonts w:ascii="Arial" w:hAnsi="Arial" w:cs="Arial"/>
          <w:sz w:val="20"/>
          <w:szCs w:val="20"/>
          <w:lang w:val="en-US"/>
        </w:rPr>
        <w:t>Moreover</w:t>
      </w:r>
      <w:r w:rsidR="00392DD8" w:rsidRPr="001169BE">
        <w:rPr>
          <w:rFonts w:ascii="Arial" w:hAnsi="Arial" w:cs="Arial"/>
          <w:sz w:val="20"/>
          <w:szCs w:val="20"/>
        </w:rPr>
        <w:t xml:space="preserve">, </w:t>
      </w:r>
      <w:r w:rsidR="00FF10B7" w:rsidRPr="001169BE">
        <w:rPr>
          <w:rFonts w:ascii="Arial" w:hAnsi="Arial" w:cs="Arial"/>
          <w:sz w:val="20"/>
          <w:szCs w:val="20"/>
        </w:rPr>
        <w:t xml:space="preserve">in practice, there can be situations that one transport block </w:t>
      </w:r>
      <w:r w:rsidR="007954E8" w:rsidRPr="001169BE">
        <w:rPr>
          <w:rFonts w:ascii="Arial" w:hAnsi="Arial" w:cs="Arial"/>
          <w:sz w:val="20"/>
          <w:szCs w:val="20"/>
        </w:rPr>
        <w:t xml:space="preserve">is successfully received and the other may not successfully decoded. In such cases, </w:t>
      </w:r>
      <w:r w:rsidR="00F63E77" w:rsidRPr="001169BE">
        <w:rPr>
          <w:rFonts w:ascii="Arial" w:hAnsi="Arial" w:cs="Arial"/>
          <w:sz w:val="20"/>
          <w:szCs w:val="20"/>
        </w:rPr>
        <w:t xml:space="preserve">only one transport block needs to be retransmitted. Again, in this case </w:t>
      </w:r>
      <w:r w:rsidR="005F62DD" w:rsidRPr="001169BE">
        <w:rPr>
          <w:rFonts w:ascii="Arial" w:hAnsi="Arial" w:cs="Arial"/>
          <w:sz w:val="20"/>
          <w:szCs w:val="20"/>
        </w:rPr>
        <w:t>AGC issue arises. Alternatively, the same transport block is repeated across two slots</w:t>
      </w:r>
      <w:r w:rsidR="00CF6FFE" w:rsidRPr="001169BE">
        <w:rPr>
          <w:rFonts w:ascii="Arial" w:hAnsi="Arial" w:cs="Arial"/>
          <w:sz w:val="20"/>
          <w:szCs w:val="20"/>
        </w:rPr>
        <w:t>, which reduces resource utilization efficiency</w:t>
      </w:r>
      <w:r w:rsidR="00781B8C" w:rsidRPr="001169BE">
        <w:rPr>
          <w:rFonts w:ascii="Arial" w:hAnsi="Arial" w:cs="Arial"/>
          <w:sz w:val="20"/>
          <w:szCs w:val="20"/>
        </w:rPr>
        <w:t xml:space="preserve"> and defeats the purpose of higher SCS in terms of reduced latency</w:t>
      </w:r>
      <w:r w:rsidR="00CF6FFE" w:rsidRPr="001169BE">
        <w:rPr>
          <w:rFonts w:ascii="Arial" w:hAnsi="Arial" w:cs="Arial"/>
          <w:sz w:val="20"/>
          <w:szCs w:val="20"/>
        </w:rPr>
        <w:t>.</w:t>
      </w:r>
      <w:r w:rsidR="004C25C6" w:rsidRPr="001169BE">
        <w:rPr>
          <w:rFonts w:ascii="Arial" w:hAnsi="Arial" w:cs="Arial"/>
          <w:sz w:val="20"/>
          <w:szCs w:val="20"/>
        </w:rPr>
        <w:t xml:space="preserve"> Instead, one can simply rely on 15 kHz SCS for NR SL.</w:t>
      </w:r>
      <w:r w:rsidR="00CF6FFE" w:rsidRPr="001169BE">
        <w:rPr>
          <w:rFonts w:ascii="Arial" w:hAnsi="Arial" w:cs="Arial"/>
          <w:sz w:val="20"/>
          <w:szCs w:val="20"/>
        </w:rPr>
        <w:t xml:space="preserve"> </w:t>
      </w:r>
      <w:r w:rsidR="00FE7AB6" w:rsidRPr="001169BE">
        <w:rPr>
          <w:rFonts w:ascii="Arial" w:hAnsi="Arial" w:cs="Arial"/>
          <w:sz w:val="20"/>
          <w:szCs w:val="20"/>
        </w:rPr>
        <w:t xml:space="preserve">Further, </w:t>
      </w:r>
      <w:r w:rsidR="004515CF" w:rsidRPr="001169BE">
        <w:rPr>
          <w:rFonts w:ascii="Arial" w:hAnsi="Arial" w:cs="Arial"/>
          <w:sz w:val="20"/>
          <w:szCs w:val="20"/>
        </w:rPr>
        <w:t xml:space="preserve">if we consider system-wide operation, AGC issue may still </w:t>
      </w:r>
      <w:r w:rsidR="00D852F8" w:rsidRPr="001169BE">
        <w:rPr>
          <w:rFonts w:ascii="Arial" w:hAnsi="Arial" w:cs="Arial"/>
          <w:sz w:val="20"/>
          <w:szCs w:val="20"/>
        </w:rPr>
        <w:t xml:space="preserve">occur if the aggregation level across different </w:t>
      </w:r>
      <w:proofErr w:type="spellStart"/>
      <w:r w:rsidR="00D852F8" w:rsidRPr="001169BE">
        <w:rPr>
          <w:rFonts w:ascii="Arial" w:hAnsi="Arial" w:cs="Arial"/>
          <w:sz w:val="20"/>
          <w:szCs w:val="20"/>
        </w:rPr>
        <w:t>UEs</w:t>
      </w:r>
      <w:proofErr w:type="spellEnd"/>
      <w:r w:rsidR="00D852F8" w:rsidRPr="001169BE">
        <w:rPr>
          <w:rFonts w:ascii="Arial" w:hAnsi="Arial" w:cs="Arial"/>
          <w:sz w:val="20"/>
          <w:szCs w:val="20"/>
        </w:rPr>
        <w:t xml:space="preserve"> </w:t>
      </w:r>
      <w:r w:rsidR="00DB0599" w:rsidRPr="001169BE">
        <w:rPr>
          <w:rFonts w:ascii="Arial" w:hAnsi="Arial" w:cs="Arial"/>
          <w:sz w:val="20"/>
          <w:szCs w:val="20"/>
        </w:rPr>
        <w:t xml:space="preserve">is not the same.  As pointed out </w:t>
      </w:r>
      <w:r w:rsidR="006456A1" w:rsidRPr="001169BE">
        <w:rPr>
          <w:rFonts w:ascii="Arial" w:hAnsi="Arial" w:cs="Arial"/>
          <w:sz w:val="20"/>
          <w:szCs w:val="20"/>
        </w:rPr>
        <w:t xml:space="preserve">by </w:t>
      </w:r>
      <w:r w:rsidR="00DB0599" w:rsidRPr="001169BE">
        <w:rPr>
          <w:rFonts w:ascii="Arial" w:hAnsi="Arial" w:cs="Arial"/>
          <w:sz w:val="20"/>
          <w:szCs w:val="20"/>
        </w:rPr>
        <w:t xml:space="preserve">several companies in the previous meeting, </w:t>
      </w:r>
      <w:r w:rsidR="00C42967" w:rsidRPr="001169BE">
        <w:rPr>
          <w:rFonts w:ascii="Arial" w:hAnsi="Arial" w:cs="Arial"/>
          <w:sz w:val="20"/>
          <w:szCs w:val="20"/>
        </w:rPr>
        <w:t>altogether</w:t>
      </w:r>
      <w:r w:rsidR="00964323" w:rsidRPr="001169BE">
        <w:rPr>
          <w:rFonts w:ascii="Arial" w:hAnsi="Arial" w:cs="Arial"/>
          <w:sz w:val="20"/>
          <w:szCs w:val="20"/>
        </w:rPr>
        <w:t>,</w:t>
      </w:r>
      <w:r w:rsidR="00C42967" w:rsidRPr="001169BE">
        <w:rPr>
          <w:rFonts w:ascii="Arial" w:hAnsi="Arial" w:cs="Arial"/>
          <w:sz w:val="20"/>
          <w:szCs w:val="20"/>
        </w:rPr>
        <w:t xml:space="preserve"> this option </w:t>
      </w:r>
      <w:r w:rsidR="0066395F" w:rsidRPr="0087249D">
        <w:rPr>
          <w:rFonts w:ascii="Arial" w:hAnsi="Arial" w:cs="Arial"/>
          <w:sz w:val="20"/>
          <w:szCs w:val="20"/>
          <w:lang w:val="en-US"/>
        </w:rPr>
        <w:t>represents a</w:t>
      </w:r>
      <w:r w:rsidR="0066395F">
        <w:rPr>
          <w:rFonts w:ascii="Arial" w:hAnsi="Arial" w:cs="Arial"/>
          <w:sz w:val="20"/>
          <w:szCs w:val="20"/>
          <w:lang w:val="en-US"/>
        </w:rPr>
        <w:t xml:space="preserve"> significant change with respect to Rel.16 and Rel.17</w:t>
      </w:r>
      <w:r w:rsidR="005A6F38">
        <w:rPr>
          <w:rFonts w:ascii="Arial" w:hAnsi="Arial" w:cs="Arial"/>
          <w:sz w:val="20"/>
          <w:szCs w:val="20"/>
          <w:lang w:val="en-US"/>
        </w:rPr>
        <w:t xml:space="preserve">, which do not support combination of blind retransmissions with feedback-based retransmission. Thus, </w:t>
      </w:r>
      <w:r w:rsidR="0087249D">
        <w:rPr>
          <w:rFonts w:ascii="Arial" w:hAnsi="Arial" w:cs="Arial"/>
          <w:sz w:val="20"/>
          <w:szCs w:val="20"/>
          <w:lang w:val="en-US"/>
        </w:rPr>
        <w:t xml:space="preserve">this </w:t>
      </w:r>
      <w:r w:rsidR="00C42967" w:rsidRPr="001169BE">
        <w:rPr>
          <w:rFonts w:ascii="Arial" w:hAnsi="Arial" w:cs="Arial"/>
          <w:sz w:val="20"/>
          <w:szCs w:val="20"/>
        </w:rPr>
        <w:t xml:space="preserve">requires a lot of work </w:t>
      </w:r>
      <w:r w:rsidR="0009691F" w:rsidRPr="001169BE">
        <w:rPr>
          <w:rFonts w:ascii="Arial" w:hAnsi="Arial" w:cs="Arial"/>
          <w:sz w:val="20"/>
          <w:szCs w:val="20"/>
        </w:rPr>
        <w:t xml:space="preserve">with respect to resource selection framework, rate matching, </w:t>
      </w:r>
      <w:r w:rsidR="00353CC4" w:rsidRPr="001169BE">
        <w:rPr>
          <w:rFonts w:ascii="Arial" w:hAnsi="Arial" w:cs="Arial"/>
          <w:sz w:val="20"/>
          <w:szCs w:val="20"/>
        </w:rPr>
        <w:t xml:space="preserve">slot structure </w:t>
      </w:r>
      <w:r w:rsidR="00D87DE8" w:rsidRPr="001169BE">
        <w:rPr>
          <w:rFonts w:ascii="Arial" w:hAnsi="Arial" w:cs="Arial"/>
          <w:sz w:val="20"/>
          <w:szCs w:val="20"/>
        </w:rPr>
        <w:t xml:space="preserve">related to gap symbols, </w:t>
      </w:r>
      <w:r w:rsidR="0009691F" w:rsidRPr="001169BE">
        <w:rPr>
          <w:rFonts w:ascii="Arial" w:hAnsi="Arial" w:cs="Arial"/>
          <w:sz w:val="20"/>
          <w:szCs w:val="20"/>
        </w:rPr>
        <w:t>etc</w:t>
      </w:r>
      <w:r w:rsidR="000D6DF0" w:rsidRPr="001169BE">
        <w:rPr>
          <w:rFonts w:ascii="Arial" w:hAnsi="Arial" w:cs="Arial"/>
          <w:sz w:val="20"/>
          <w:szCs w:val="20"/>
        </w:rPr>
        <w:t>.</w:t>
      </w:r>
      <w:r w:rsidR="00A34E1D" w:rsidRPr="001169BE">
        <w:rPr>
          <w:rFonts w:ascii="Arial" w:hAnsi="Arial" w:cs="Arial"/>
          <w:sz w:val="20"/>
          <w:szCs w:val="20"/>
        </w:rPr>
        <w:t xml:space="preserve"> [2].</w:t>
      </w:r>
    </w:p>
    <w:p w14:paraId="0959D289" w14:textId="3347B65B" w:rsidR="0037474B" w:rsidRPr="00600F25" w:rsidRDefault="0037474B" w:rsidP="004F20AE">
      <w:pPr>
        <w:pStyle w:val="ListParagraph"/>
        <w:numPr>
          <w:ilvl w:val="0"/>
          <w:numId w:val="36"/>
        </w:numPr>
        <w:jc w:val="both"/>
        <w:rPr>
          <w:rFonts w:cs="Arial"/>
        </w:rPr>
      </w:pPr>
      <w:r w:rsidRPr="00120B07">
        <w:rPr>
          <w:rFonts w:ascii="Arial" w:hAnsi="Arial" w:cs="Arial"/>
          <w:sz w:val="20"/>
          <w:szCs w:val="20"/>
        </w:rPr>
        <w:t>NR SL UE uses the information shared by the LTE SL module in its own resource selection procedure to exclude slots overlapping with LTE SL transmissions</w:t>
      </w:r>
      <w:r w:rsidR="00B535D2" w:rsidRPr="00120B07">
        <w:rPr>
          <w:rFonts w:ascii="Arial" w:hAnsi="Arial" w:cs="Arial"/>
          <w:sz w:val="20"/>
          <w:szCs w:val="20"/>
        </w:rPr>
        <w:t xml:space="preserve"> (cf. option 3 in [2])</w:t>
      </w:r>
      <w:r w:rsidRPr="00120B07">
        <w:rPr>
          <w:rFonts w:ascii="Arial" w:hAnsi="Arial" w:cs="Arial"/>
          <w:sz w:val="20"/>
          <w:szCs w:val="20"/>
        </w:rPr>
        <w:t>.</w:t>
      </w:r>
      <w:r w:rsidR="00711346" w:rsidRPr="00120B07">
        <w:rPr>
          <w:rFonts w:ascii="Arial" w:hAnsi="Arial" w:cs="Arial"/>
          <w:sz w:val="20"/>
          <w:szCs w:val="20"/>
        </w:rPr>
        <w:t xml:space="preserve"> Such changes</w:t>
      </w:r>
      <w:r w:rsidR="001C3545" w:rsidRPr="00120B07">
        <w:rPr>
          <w:rFonts w:ascii="Arial" w:hAnsi="Arial" w:cs="Arial"/>
          <w:sz w:val="20"/>
          <w:szCs w:val="20"/>
        </w:rPr>
        <w:t xml:space="preserve"> in </w:t>
      </w:r>
      <w:r w:rsidR="00345A73" w:rsidRPr="00120B07">
        <w:rPr>
          <w:rFonts w:ascii="Arial" w:hAnsi="Arial" w:cs="Arial"/>
          <w:sz w:val="20"/>
          <w:szCs w:val="20"/>
        </w:rPr>
        <w:t>Rel.</w:t>
      </w:r>
      <w:r w:rsidR="001C3545" w:rsidRPr="00120B07">
        <w:rPr>
          <w:rFonts w:ascii="Arial" w:hAnsi="Arial" w:cs="Arial"/>
          <w:sz w:val="20"/>
          <w:szCs w:val="20"/>
        </w:rPr>
        <w:t xml:space="preserve">18 </w:t>
      </w:r>
      <w:r w:rsidR="00AB16C2" w:rsidRPr="00120B07">
        <w:rPr>
          <w:rFonts w:ascii="Arial" w:hAnsi="Arial" w:cs="Arial"/>
          <w:sz w:val="20"/>
          <w:szCs w:val="20"/>
        </w:rPr>
        <w:t xml:space="preserve">resource selection with respect to 30 kHz SCS </w:t>
      </w:r>
      <w:r w:rsidR="009458F2" w:rsidRPr="00120B07">
        <w:rPr>
          <w:rFonts w:ascii="Arial" w:hAnsi="Arial" w:cs="Arial"/>
          <w:sz w:val="20"/>
          <w:szCs w:val="20"/>
        </w:rPr>
        <w:t xml:space="preserve">may be useful to communicate with Rel.18 </w:t>
      </w:r>
      <w:r w:rsidR="003806CC" w:rsidRPr="00120B07">
        <w:rPr>
          <w:rFonts w:ascii="Arial" w:hAnsi="Arial" w:cs="Arial"/>
          <w:sz w:val="20"/>
          <w:szCs w:val="20"/>
        </w:rPr>
        <w:t>devices but</w:t>
      </w:r>
      <w:r w:rsidR="009458F2" w:rsidRPr="00120B07">
        <w:rPr>
          <w:rFonts w:ascii="Arial" w:hAnsi="Arial" w:cs="Arial"/>
          <w:sz w:val="20"/>
          <w:szCs w:val="20"/>
        </w:rPr>
        <w:t xml:space="preserve"> </w:t>
      </w:r>
      <w:r w:rsidR="00AB16C2" w:rsidRPr="00120B07">
        <w:rPr>
          <w:rFonts w:ascii="Arial" w:hAnsi="Arial" w:cs="Arial"/>
          <w:sz w:val="20"/>
          <w:szCs w:val="20"/>
        </w:rPr>
        <w:t xml:space="preserve">may </w:t>
      </w:r>
      <w:r w:rsidR="00345A73" w:rsidRPr="00120B07">
        <w:rPr>
          <w:rFonts w:ascii="Arial" w:hAnsi="Arial" w:cs="Arial"/>
          <w:sz w:val="20"/>
          <w:szCs w:val="20"/>
        </w:rPr>
        <w:t xml:space="preserve">not </w:t>
      </w:r>
      <w:r w:rsidR="006A5ED3" w:rsidRPr="00120B07">
        <w:rPr>
          <w:rFonts w:ascii="Arial" w:hAnsi="Arial" w:cs="Arial"/>
          <w:sz w:val="20"/>
          <w:szCs w:val="20"/>
        </w:rPr>
        <w:t>be</w:t>
      </w:r>
      <w:r w:rsidR="006A5ED3" w:rsidRPr="00D270A8">
        <w:rPr>
          <w:rFonts w:ascii="Arial" w:hAnsi="Arial" w:cs="Arial"/>
          <w:sz w:val="20"/>
          <w:szCs w:val="20"/>
        </w:rPr>
        <w:t xml:space="preserve"> </w:t>
      </w:r>
      <w:r w:rsidR="00DC5B52" w:rsidRPr="00D270A8">
        <w:rPr>
          <w:rFonts w:ascii="Arial" w:hAnsi="Arial" w:cs="Arial"/>
          <w:sz w:val="20"/>
          <w:szCs w:val="20"/>
        </w:rPr>
        <w:t xml:space="preserve">effective if NR SL module on a type A device (Rel. 18) needs to communicate with a </w:t>
      </w:r>
      <w:r w:rsidR="004241EE" w:rsidRPr="00D270A8">
        <w:rPr>
          <w:rFonts w:ascii="Arial" w:hAnsi="Arial" w:cs="Arial"/>
          <w:sz w:val="20"/>
          <w:szCs w:val="20"/>
        </w:rPr>
        <w:t xml:space="preserve">NR SL Rel.16/Rel.17 </w:t>
      </w:r>
      <w:r w:rsidR="004241EE" w:rsidRPr="00D270A8">
        <w:rPr>
          <w:rFonts w:ascii="Arial" w:hAnsi="Arial" w:cs="Arial"/>
          <w:sz w:val="20"/>
          <w:szCs w:val="20"/>
        </w:rPr>
        <w:lastRenderedPageBreak/>
        <w:t>device</w:t>
      </w:r>
      <w:r w:rsidR="003806CC" w:rsidRPr="00D270A8">
        <w:rPr>
          <w:rFonts w:ascii="Arial" w:hAnsi="Arial" w:cs="Arial"/>
          <w:sz w:val="20"/>
          <w:szCs w:val="20"/>
        </w:rPr>
        <w:t xml:space="preserve"> due to lack of backward compatibility</w:t>
      </w:r>
      <w:r w:rsidR="00586A24" w:rsidRPr="00D270A8">
        <w:rPr>
          <w:rFonts w:ascii="Arial" w:hAnsi="Arial" w:cs="Arial"/>
          <w:sz w:val="20"/>
          <w:szCs w:val="20"/>
        </w:rPr>
        <w:t xml:space="preserve">. </w:t>
      </w:r>
      <w:r w:rsidR="00E43C3C" w:rsidRPr="00D270A8">
        <w:rPr>
          <w:rFonts w:ascii="Arial" w:hAnsi="Arial" w:cs="Arial"/>
          <w:sz w:val="20"/>
          <w:szCs w:val="20"/>
        </w:rPr>
        <w:t xml:space="preserve">Further, </w:t>
      </w:r>
      <w:r w:rsidR="004241EE" w:rsidRPr="00D270A8">
        <w:rPr>
          <w:rFonts w:ascii="Arial" w:hAnsi="Arial" w:cs="Arial"/>
          <w:sz w:val="20"/>
          <w:szCs w:val="20"/>
        </w:rPr>
        <w:t>this resource selection process</w:t>
      </w:r>
      <w:r w:rsidR="008A7119" w:rsidRPr="00D270A8">
        <w:rPr>
          <w:rFonts w:ascii="Arial" w:hAnsi="Arial" w:cs="Arial"/>
          <w:sz w:val="20"/>
          <w:szCs w:val="20"/>
        </w:rPr>
        <w:t xml:space="preserve"> may yield excessive resource exclusion as </w:t>
      </w:r>
      <w:r w:rsidR="002F7F8B" w:rsidRPr="00D270A8">
        <w:rPr>
          <w:rFonts w:ascii="Arial" w:hAnsi="Arial" w:cs="Arial"/>
          <w:sz w:val="20"/>
          <w:szCs w:val="20"/>
        </w:rPr>
        <w:t>discussed</w:t>
      </w:r>
      <w:r w:rsidR="008A7119" w:rsidRPr="00D270A8">
        <w:rPr>
          <w:rFonts w:ascii="Arial" w:hAnsi="Arial" w:cs="Arial"/>
          <w:sz w:val="20"/>
          <w:szCs w:val="20"/>
        </w:rPr>
        <w:t xml:space="preserve"> in [2]. </w:t>
      </w:r>
    </w:p>
    <w:p w14:paraId="72808D0D" w14:textId="77777777" w:rsidR="00542594" w:rsidRDefault="00542594" w:rsidP="00E66E81">
      <w:pPr>
        <w:jc w:val="both"/>
        <w:rPr>
          <w:rFonts w:cs="Arial"/>
        </w:rPr>
      </w:pPr>
    </w:p>
    <w:p w14:paraId="25763E3E" w14:textId="75EAB6A3" w:rsidR="00E66E81" w:rsidRDefault="00E66E81" w:rsidP="00E66E81">
      <w:pPr>
        <w:jc w:val="both"/>
        <w:rPr>
          <w:rFonts w:cs="Arial"/>
          <w:iCs/>
          <w:lang w:eastAsia="ko-KR"/>
        </w:rPr>
      </w:pPr>
      <w:r w:rsidRPr="00293C2D">
        <w:rPr>
          <w:rFonts w:cs="Arial"/>
        </w:rPr>
        <w:t>Since there is no explicit mandate to support the coexistence of release</w:t>
      </w:r>
      <w:r w:rsidR="00247FE2">
        <w:rPr>
          <w:rFonts w:cs="Arial"/>
        </w:rPr>
        <w:t xml:space="preserve"> </w:t>
      </w:r>
      <w:r w:rsidRPr="00293C2D">
        <w:rPr>
          <w:rFonts w:cs="Arial"/>
        </w:rPr>
        <w:t>16/17 NR SL UE operating over 30 kH</w:t>
      </w:r>
      <w:r w:rsidR="00247FE2">
        <w:rPr>
          <w:rFonts w:cs="Arial"/>
        </w:rPr>
        <w:t>z</w:t>
      </w:r>
      <w:r w:rsidRPr="00293C2D">
        <w:rPr>
          <w:rFonts w:cs="Arial"/>
        </w:rPr>
        <w:t xml:space="preserve"> and LTE SL operating over 15 kHz SCS and WID stresses that the dynamic resource pool sharing coexistence is for </w:t>
      </w:r>
      <w:r w:rsidRPr="00293C2D">
        <w:rPr>
          <w:rFonts w:cs="Arial"/>
          <w:iCs/>
          <w:lang w:eastAsia="ko-KR"/>
        </w:rPr>
        <w:t>Type A devices and operating combination A with high priority, we propose to limit the SCS to 15 kH</w:t>
      </w:r>
      <w:r w:rsidR="00247FE2">
        <w:rPr>
          <w:rFonts w:cs="Arial"/>
          <w:iCs/>
          <w:lang w:eastAsia="ko-KR"/>
        </w:rPr>
        <w:t>z</w:t>
      </w:r>
      <w:r w:rsidRPr="00293C2D">
        <w:rPr>
          <w:rFonts w:cs="Arial"/>
          <w:iCs/>
          <w:lang w:eastAsia="ko-KR"/>
        </w:rPr>
        <w:t>.</w:t>
      </w:r>
    </w:p>
    <w:p w14:paraId="443E8473" w14:textId="77777777" w:rsidR="00E66E81" w:rsidRDefault="00E66E81" w:rsidP="00E66E81">
      <w:pPr>
        <w:pStyle w:val="Proposal"/>
      </w:pPr>
      <w:bookmarkStart w:id="63" w:name="_Toc118727576"/>
      <w:r>
        <w:t>Only 15 kHz SCS is considered for dynamic resource pool sharing based coexistence.</w:t>
      </w:r>
      <w:bookmarkEnd w:id="63"/>
    </w:p>
    <w:p w14:paraId="26ED507D" w14:textId="77777777" w:rsidR="00915297" w:rsidRDefault="00915297" w:rsidP="00E43976"/>
    <w:p w14:paraId="637881B8" w14:textId="1D1D5936" w:rsidR="00122D89" w:rsidRPr="00122D89" w:rsidRDefault="00040C68" w:rsidP="00E712A5">
      <w:pPr>
        <w:pStyle w:val="Heading1"/>
      </w:pPr>
      <w:r>
        <w:t xml:space="preserve">3 </w:t>
      </w:r>
      <w:r w:rsidR="00122D89">
        <w:tab/>
      </w:r>
      <w:r w:rsidR="00122D89" w:rsidRPr="00122D89">
        <w:t>Synchronization for coexistence</w:t>
      </w:r>
    </w:p>
    <w:p w14:paraId="5AC6AA6D" w14:textId="10B8A485" w:rsidR="001A1CE1" w:rsidRDefault="00122D89" w:rsidP="00122D89">
      <w:pPr>
        <w:spacing w:after="120"/>
        <w:jc w:val="both"/>
        <w:rPr>
          <w:rFonts w:eastAsia="Times New Roman" w:cs="Arial"/>
          <w:color w:val="000000"/>
          <w:szCs w:val="20"/>
          <w:lang w:eastAsia="en-GB"/>
        </w:rPr>
      </w:pPr>
      <w:r w:rsidRPr="00054CD2">
        <w:rPr>
          <w:rFonts w:eastAsia="Times New Roman" w:cs="Arial"/>
          <w:color w:val="000000"/>
          <w:szCs w:val="20"/>
          <w:lang w:eastAsia="en-GB"/>
        </w:rPr>
        <w:t xml:space="preserve">In the previous RAN WG1#110 meeting, it was concluded that </w:t>
      </w:r>
      <w:r w:rsidR="00E22738">
        <w:rPr>
          <w:rFonts w:eastAsia="Times New Roman" w:cs="Arial"/>
          <w:color w:val="000000"/>
          <w:szCs w:val="20"/>
          <w:lang w:eastAsia="en-GB"/>
        </w:rPr>
        <w:t>Rel-</w:t>
      </w:r>
      <w:r w:rsidRPr="00054CD2">
        <w:rPr>
          <w:rFonts w:eastAsia="Times New Roman" w:cs="Arial"/>
          <w:color w:val="000000"/>
          <w:szCs w:val="20"/>
          <w:lang w:eastAsia="en-GB"/>
        </w:rPr>
        <w:t xml:space="preserve">16 in-device coexistence framework can ensure alignment between the slot boundary of the NR SL time slot and the subframe boundary of the LTE SL subframe in the context of coexistence between LTE-V UEs and NR-V UEs through TDM-based semi-static resource pool partitioning. </w:t>
      </w:r>
    </w:p>
    <w:p w14:paraId="77454C34" w14:textId="1FA8C71F" w:rsidR="00E22738" w:rsidRDefault="00122D89" w:rsidP="00122D89">
      <w:pPr>
        <w:spacing w:after="120"/>
        <w:jc w:val="both"/>
        <w:rPr>
          <w:rFonts w:cs="Arial"/>
          <w:color w:val="000000"/>
          <w:szCs w:val="20"/>
        </w:rPr>
      </w:pPr>
      <w:r w:rsidRPr="00054CD2">
        <w:rPr>
          <w:rFonts w:eastAsia="Times New Roman" w:cs="Arial"/>
          <w:color w:val="000000"/>
          <w:szCs w:val="20"/>
          <w:lang w:eastAsia="en-GB"/>
        </w:rPr>
        <w:t xml:space="preserve">At least for the case of </w:t>
      </w:r>
      <w:r w:rsidR="00E22738">
        <w:rPr>
          <w:rFonts w:eastAsia="Times New Roman" w:cs="Arial"/>
          <w:color w:val="000000"/>
          <w:szCs w:val="20"/>
          <w:lang w:eastAsia="en-GB"/>
        </w:rPr>
        <w:t xml:space="preserve">the </w:t>
      </w:r>
      <w:r w:rsidRPr="00054CD2">
        <w:rPr>
          <w:rFonts w:eastAsia="Times New Roman" w:cs="Arial"/>
          <w:color w:val="000000"/>
          <w:szCs w:val="20"/>
          <w:lang w:eastAsia="en-GB"/>
        </w:rPr>
        <w:t xml:space="preserve">same subcarrier spacing of 15 </w:t>
      </w:r>
      <w:r w:rsidR="00E22738">
        <w:rPr>
          <w:rFonts w:eastAsia="Times New Roman" w:cs="Arial"/>
          <w:color w:val="000000"/>
          <w:szCs w:val="20"/>
          <w:lang w:eastAsia="en-GB"/>
        </w:rPr>
        <w:t>kHz (which is the basis of our Observation 8)</w:t>
      </w:r>
      <w:r w:rsidRPr="00054CD2">
        <w:rPr>
          <w:rFonts w:eastAsia="Times New Roman" w:cs="Arial"/>
          <w:color w:val="000000"/>
          <w:szCs w:val="20"/>
          <w:lang w:eastAsia="en-GB"/>
        </w:rPr>
        <w:t xml:space="preserve"> </w:t>
      </w:r>
      <w:r w:rsidRPr="00054CD2">
        <w:rPr>
          <w:rFonts w:cs="Arial"/>
          <w:color w:val="000000"/>
          <w:szCs w:val="20"/>
        </w:rPr>
        <w:t xml:space="preserve">and same synchronization source of GNSS </w:t>
      </w:r>
      <w:r w:rsidRPr="00054CD2">
        <w:rPr>
          <w:rFonts w:eastAsia="Times New Roman" w:cs="Arial"/>
          <w:color w:val="000000"/>
          <w:szCs w:val="20"/>
          <w:lang w:eastAsia="en-GB"/>
        </w:rPr>
        <w:t xml:space="preserve">in LTE and NR </w:t>
      </w:r>
      <w:r w:rsidRPr="00054CD2">
        <w:rPr>
          <w:rFonts w:cs="Arial"/>
          <w:color w:val="000000"/>
          <w:szCs w:val="20"/>
        </w:rPr>
        <w:t>(µ=0), there is no difference in the expressions of DFN (direct frame number) in both radio access technologies</w:t>
      </w:r>
      <w:r w:rsidR="00E22738">
        <w:rPr>
          <w:rFonts w:cs="Arial"/>
          <w:color w:val="000000"/>
          <w:szCs w:val="20"/>
        </w:rPr>
        <w:t>,</w:t>
      </w:r>
      <w:r w:rsidRPr="00054CD2">
        <w:rPr>
          <w:rFonts w:cs="Arial"/>
          <w:color w:val="000000"/>
          <w:szCs w:val="20"/>
        </w:rPr>
        <w:t xml:space="preserve"> and hence</w:t>
      </w:r>
      <w:r w:rsidR="00E22738">
        <w:rPr>
          <w:rFonts w:cs="Arial"/>
          <w:color w:val="000000"/>
          <w:szCs w:val="20"/>
        </w:rPr>
        <w:t>,</w:t>
      </w:r>
      <w:r w:rsidRPr="00054CD2">
        <w:rPr>
          <w:rFonts w:cs="Arial"/>
          <w:color w:val="000000"/>
          <w:szCs w:val="20"/>
        </w:rPr>
        <w:t xml:space="preserve"> it is straightforward to have the alignment between the boundaries of LTE SL sub-frame and NR SL slot. </w:t>
      </w:r>
    </w:p>
    <w:p w14:paraId="4E055334" w14:textId="68B394F1" w:rsidR="00122D89" w:rsidRPr="00054CD2" w:rsidRDefault="00122D89" w:rsidP="00122D89">
      <w:pPr>
        <w:spacing w:after="120"/>
        <w:jc w:val="both"/>
        <w:rPr>
          <w:rFonts w:cs="Arial"/>
          <w:color w:val="000000"/>
          <w:szCs w:val="20"/>
        </w:rPr>
      </w:pPr>
      <w:r w:rsidRPr="00054CD2">
        <w:rPr>
          <w:rFonts w:cs="Arial"/>
          <w:color w:val="000000"/>
          <w:szCs w:val="20"/>
        </w:rPr>
        <w:t>Alternatively, if the synchronization sources are different in both radio technologies (e.g., different synchronization priorities), then there may be misalignment of time boundaries depending on the synchronization source in each case.</w:t>
      </w:r>
      <w:r w:rsidR="00BD7A22">
        <w:rPr>
          <w:rFonts w:cs="Arial"/>
          <w:color w:val="000000"/>
          <w:szCs w:val="20"/>
        </w:rPr>
        <w:t xml:space="preserve"> We discuss</w:t>
      </w:r>
      <w:r w:rsidR="00945C38">
        <w:rPr>
          <w:rFonts w:cs="Arial"/>
          <w:color w:val="000000"/>
          <w:szCs w:val="20"/>
        </w:rPr>
        <w:t xml:space="preserve"> below</w:t>
      </w:r>
      <w:r w:rsidR="00BD7A22">
        <w:rPr>
          <w:rFonts w:cs="Arial"/>
          <w:color w:val="000000"/>
          <w:szCs w:val="20"/>
        </w:rPr>
        <w:t xml:space="preserve"> the feasible solutions to address th</w:t>
      </w:r>
      <w:r w:rsidR="00E22738">
        <w:rPr>
          <w:rFonts w:cs="Arial"/>
          <w:color w:val="000000"/>
          <w:szCs w:val="20"/>
        </w:rPr>
        <w:t xml:space="preserve">is issue </w:t>
      </w:r>
      <w:proofErr w:type="spellStart"/>
      <w:r w:rsidR="00945C38">
        <w:rPr>
          <w:rFonts w:cs="Arial"/>
          <w:color w:val="000000"/>
          <w:szCs w:val="20"/>
        </w:rPr>
        <w:t>w.r.t.</w:t>
      </w:r>
      <w:proofErr w:type="spellEnd"/>
      <w:r w:rsidR="00945C38">
        <w:rPr>
          <w:rFonts w:cs="Arial"/>
          <w:color w:val="000000"/>
          <w:szCs w:val="20"/>
        </w:rPr>
        <w:t xml:space="preserve"> </w:t>
      </w:r>
      <w:r w:rsidR="003F30DB">
        <w:rPr>
          <w:rFonts w:cs="Arial"/>
          <w:color w:val="000000"/>
          <w:szCs w:val="20"/>
        </w:rPr>
        <w:t>T</w:t>
      </w:r>
      <w:r w:rsidR="00945C38">
        <w:rPr>
          <w:rFonts w:cs="Arial"/>
          <w:color w:val="000000"/>
          <w:szCs w:val="20"/>
        </w:rPr>
        <w:t>ype</w:t>
      </w:r>
      <w:r w:rsidR="00AE62D4">
        <w:rPr>
          <w:rFonts w:cs="Arial"/>
          <w:color w:val="000000"/>
          <w:szCs w:val="20"/>
        </w:rPr>
        <w:t xml:space="preserve"> </w:t>
      </w:r>
      <w:r w:rsidR="00945C38">
        <w:rPr>
          <w:rFonts w:cs="Arial"/>
          <w:color w:val="000000"/>
          <w:szCs w:val="20"/>
        </w:rPr>
        <w:t>A devices</w:t>
      </w:r>
      <w:r w:rsidR="00E22738">
        <w:rPr>
          <w:rFonts w:cs="Arial"/>
          <w:color w:val="000000"/>
          <w:szCs w:val="20"/>
        </w:rPr>
        <w:t>:</w:t>
      </w:r>
    </w:p>
    <w:p w14:paraId="2A0DB5C1" w14:textId="48C49293" w:rsidR="00390AC5" w:rsidRDefault="003528AD" w:rsidP="00A45730">
      <w:pPr>
        <w:pStyle w:val="NoSpacing"/>
        <w:numPr>
          <w:ilvl w:val="0"/>
          <w:numId w:val="30"/>
        </w:numPr>
        <w:jc w:val="both"/>
        <w:rPr>
          <w:rFonts w:cs="Arial"/>
          <w:szCs w:val="20"/>
        </w:rPr>
      </w:pPr>
      <w:r w:rsidRPr="002B7518">
        <w:rPr>
          <w:rFonts w:cs="Arial"/>
          <w:szCs w:val="20"/>
        </w:rPr>
        <w:t xml:space="preserve">In cases </w:t>
      </w:r>
      <w:r w:rsidR="00E22738" w:rsidRPr="00E22738">
        <w:rPr>
          <w:rFonts w:cs="Arial"/>
          <w:szCs w:val="20"/>
        </w:rPr>
        <w:t>where</w:t>
      </w:r>
      <w:r w:rsidR="00E22738">
        <w:rPr>
          <w:rFonts w:cs="Arial"/>
          <w:szCs w:val="20"/>
        </w:rPr>
        <w:t xml:space="preserve"> </w:t>
      </w:r>
      <w:r w:rsidRPr="002B7518">
        <w:rPr>
          <w:rFonts w:cs="Arial"/>
          <w:szCs w:val="20"/>
        </w:rPr>
        <w:t xml:space="preserve">a) </w:t>
      </w:r>
      <w:r w:rsidR="00122D89" w:rsidRPr="00E22738">
        <w:rPr>
          <w:rFonts w:cs="Arial"/>
          <w:szCs w:val="20"/>
        </w:rPr>
        <w:t>LTE UE is synchronized to GNSS while NR UE is synchronized SLSS originating from a UE connected to GNSS</w:t>
      </w:r>
      <w:r w:rsidRPr="00E22738">
        <w:rPr>
          <w:rFonts w:cs="Arial"/>
          <w:szCs w:val="20"/>
        </w:rPr>
        <w:t xml:space="preserve">, </w:t>
      </w:r>
      <w:r w:rsidRPr="00A14B38">
        <w:rPr>
          <w:rFonts w:cs="Arial"/>
          <w:szCs w:val="20"/>
        </w:rPr>
        <w:t>b)</w:t>
      </w:r>
      <w:r w:rsidR="00E22738" w:rsidRPr="00A14B38">
        <w:rPr>
          <w:rFonts w:cs="Arial"/>
          <w:szCs w:val="20"/>
        </w:rPr>
        <w:t xml:space="preserve"> </w:t>
      </w:r>
      <w:r w:rsidR="00E92F3D" w:rsidRPr="00A14B38">
        <w:rPr>
          <w:rFonts w:cs="Arial"/>
          <w:szCs w:val="20"/>
        </w:rPr>
        <w:t>LTE UE is synchronized to SLSS originating from a UE connected to GNSS while NR UE is synchronized to GNSS</w:t>
      </w:r>
      <w:r w:rsidRPr="00A14B38">
        <w:rPr>
          <w:rFonts w:cs="Arial"/>
          <w:szCs w:val="20"/>
        </w:rPr>
        <w:t xml:space="preserve">, and c) </w:t>
      </w:r>
      <w:r w:rsidR="00E22738" w:rsidRPr="00A14B38">
        <w:rPr>
          <w:rFonts w:cs="Arial"/>
          <w:szCs w:val="20"/>
        </w:rPr>
        <w:t>b</w:t>
      </w:r>
      <w:r w:rsidRPr="00A14B38">
        <w:rPr>
          <w:rFonts w:cs="Arial"/>
          <w:szCs w:val="20"/>
        </w:rPr>
        <w:t>oth LTE and NR UEs are synchronized to SLSSs originating from UEs connected to GNSS, the</w:t>
      </w:r>
      <w:r w:rsidR="00122D89" w:rsidRPr="00A14B38">
        <w:rPr>
          <w:rFonts w:cs="Arial"/>
          <w:szCs w:val="20"/>
        </w:rPr>
        <w:t xml:space="preserve"> UEs are </w:t>
      </w:r>
      <w:r w:rsidR="00390AC5" w:rsidRPr="00A14B38">
        <w:rPr>
          <w:rFonts w:cs="Arial"/>
          <w:szCs w:val="20"/>
        </w:rPr>
        <w:t>synchronized to GNSS either directly or indirectly and thus there is no issue.</w:t>
      </w:r>
    </w:p>
    <w:p w14:paraId="6B7017AA" w14:textId="77777777" w:rsidR="00E22738" w:rsidRPr="002B7518" w:rsidRDefault="00E22738" w:rsidP="0061414F">
      <w:pPr>
        <w:pStyle w:val="NoSpacing"/>
        <w:ind w:left="360"/>
        <w:jc w:val="both"/>
        <w:rPr>
          <w:rFonts w:cs="Arial"/>
          <w:szCs w:val="20"/>
        </w:rPr>
      </w:pPr>
    </w:p>
    <w:p w14:paraId="1BD2CD52" w14:textId="3F163F7E" w:rsidR="00497190" w:rsidRDefault="00497190" w:rsidP="00A45730">
      <w:pPr>
        <w:pStyle w:val="NoSpacing"/>
        <w:numPr>
          <w:ilvl w:val="0"/>
          <w:numId w:val="30"/>
        </w:numPr>
        <w:jc w:val="both"/>
        <w:rPr>
          <w:rFonts w:eastAsia="Calibri" w:cs="Arial"/>
          <w:szCs w:val="20"/>
        </w:rPr>
      </w:pPr>
      <w:r>
        <w:rPr>
          <w:rFonts w:cs="Arial"/>
          <w:szCs w:val="20"/>
        </w:rPr>
        <w:t xml:space="preserve">In cases </w:t>
      </w:r>
      <w:r w:rsidR="00E22738">
        <w:rPr>
          <w:rFonts w:cs="Arial"/>
          <w:szCs w:val="20"/>
        </w:rPr>
        <w:t xml:space="preserve">where </w:t>
      </w:r>
      <w:r>
        <w:rPr>
          <w:rFonts w:cs="Arial"/>
          <w:szCs w:val="20"/>
        </w:rPr>
        <w:t>d) LTE UE is synchronized to GNSS, and NR UE is synchronized to SLSS originating from a UE that is synchronized to other than GNSS, e) LTE UE is synchronized to SLSS originating from a UE connected to other than GNSS while NR UE is synchronized to GNSS and f) LTE and NR UEs are synchronized to SLSSs originating from UEs connected to other than GNSS, new solution is required to make sure the successful operation of coexistence. That is, to</w:t>
      </w:r>
      <w:r w:rsidDel="00E22738">
        <w:rPr>
          <w:rFonts w:cs="Arial"/>
          <w:szCs w:val="20"/>
        </w:rPr>
        <w:t xml:space="preserve"> </w:t>
      </w:r>
      <w:r w:rsidR="00E22738">
        <w:rPr>
          <w:rFonts w:cs="Arial"/>
          <w:szCs w:val="20"/>
        </w:rPr>
        <w:t xml:space="preserve">enable that </w:t>
      </w:r>
      <w:r>
        <w:rPr>
          <w:rFonts w:cs="Arial"/>
          <w:szCs w:val="20"/>
        </w:rPr>
        <w:t xml:space="preserve">the NR SL relies on the synchronization source of LTE SL. This can be possible among type-A devices consisting of both NR and LTE SL modules. </w:t>
      </w:r>
    </w:p>
    <w:p w14:paraId="402EE377" w14:textId="77777777" w:rsidR="00E93A7E" w:rsidRDefault="00E93A7E" w:rsidP="005D34E0">
      <w:pPr>
        <w:pStyle w:val="NoSpacing"/>
        <w:ind w:left="360"/>
        <w:jc w:val="both"/>
        <w:rPr>
          <w:rFonts w:eastAsia="Calibri" w:cs="Arial"/>
          <w:szCs w:val="20"/>
        </w:rPr>
      </w:pPr>
    </w:p>
    <w:p w14:paraId="31E3248B" w14:textId="77777777" w:rsidR="00E22738" w:rsidRPr="00AC0D7F" w:rsidRDefault="00E93A7E" w:rsidP="00A45730">
      <w:pPr>
        <w:pStyle w:val="NoSpacing"/>
        <w:numPr>
          <w:ilvl w:val="0"/>
          <w:numId w:val="31"/>
        </w:numPr>
        <w:jc w:val="both"/>
        <w:rPr>
          <w:rFonts w:eastAsia="Calibri" w:cs="Arial"/>
          <w:szCs w:val="20"/>
        </w:rPr>
      </w:pPr>
      <w:r>
        <w:rPr>
          <w:rFonts w:cs="Arial"/>
          <w:szCs w:val="20"/>
        </w:rPr>
        <w:t xml:space="preserve">In case </w:t>
      </w:r>
      <w:r w:rsidR="00E22738">
        <w:rPr>
          <w:rFonts w:cs="Arial"/>
          <w:szCs w:val="20"/>
        </w:rPr>
        <w:t xml:space="preserve">where </w:t>
      </w:r>
      <w:r>
        <w:rPr>
          <w:rFonts w:cs="Arial"/>
          <w:szCs w:val="20"/>
        </w:rPr>
        <w:t xml:space="preserve">g) LTE UE is synchronized to SLSS originating from a UE that is connected to other than GNSS while NR UE is either synchronized to GNSS or synchronized to SLSS originating from a UE connected to GNSS, </w:t>
      </w:r>
      <w:r w:rsidR="00E22738">
        <w:rPr>
          <w:rFonts w:cs="Arial"/>
          <w:szCs w:val="20"/>
        </w:rPr>
        <w:t xml:space="preserve">a </w:t>
      </w:r>
      <w:r>
        <w:rPr>
          <w:rFonts w:cs="Arial"/>
          <w:szCs w:val="20"/>
        </w:rPr>
        <w:t>new solution is required to make sure the successful operation of coexistence. Potential options include</w:t>
      </w:r>
      <w:r w:rsidR="00E22738">
        <w:rPr>
          <w:rFonts w:cs="Arial"/>
          <w:szCs w:val="20"/>
        </w:rPr>
        <w:t>:</w:t>
      </w:r>
    </w:p>
    <w:p w14:paraId="2A5D6645" w14:textId="138E4997" w:rsidR="00E93A7E" w:rsidRDefault="00E93A7E" w:rsidP="00A45730">
      <w:pPr>
        <w:pStyle w:val="NoSpacing"/>
        <w:numPr>
          <w:ilvl w:val="1"/>
          <w:numId w:val="31"/>
        </w:numPr>
        <w:jc w:val="both"/>
        <w:rPr>
          <w:rFonts w:eastAsia="Calibri" w:cs="Arial"/>
          <w:szCs w:val="20"/>
        </w:rPr>
      </w:pPr>
      <w:r>
        <w:rPr>
          <w:rFonts w:cs="Arial"/>
          <w:szCs w:val="20"/>
        </w:rPr>
        <w:t>1) NR UE follows LTE SLSS</w:t>
      </w:r>
      <w:r w:rsidR="00E22738">
        <w:rPr>
          <w:rFonts w:cs="Arial"/>
          <w:szCs w:val="20"/>
        </w:rPr>
        <w:t xml:space="preserve"> or</w:t>
      </w:r>
      <w:r>
        <w:rPr>
          <w:rFonts w:cs="Arial"/>
          <w:szCs w:val="20"/>
        </w:rPr>
        <w:t xml:space="preserve"> 2) NR UE transmits LTE SLSS, which can be easily possible among type-A devices.</w:t>
      </w:r>
    </w:p>
    <w:p w14:paraId="20AB0BDC" w14:textId="77777777" w:rsidR="00122D89" w:rsidRPr="001B4A04" w:rsidRDefault="00122D89" w:rsidP="00122D89">
      <w:pPr>
        <w:pStyle w:val="NoSpacing"/>
      </w:pPr>
    </w:p>
    <w:p w14:paraId="4EE3B446" w14:textId="23D372D0" w:rsidR="005B0190" w:rsidRDefault="0070125C" w:rsidP="00CB4030">
      <w:pPr>
        <w:pStyle w:val="NoSpacing"/>
        <w:jc w:val="both"/>
      </w:pPr>
      <w:r>
        <w:t>To summarize</w:t>
      </w:r>
      <w:r w:rsidR="00274D63">
        <w:t xml:space="preserve">, </w:t>
      </w:r>
      <w:r w:rsidR="00E22738">
        <w:t xml:space="preserve">the defined </w:t>
      </w:r>
      <w:r w:rsidR="00062127">
        <w:t xml:space="preserve">synchronization issue can be resolved </w:t>
      </w:r>
      <w:r w:rsidR="007F282C">
        <w:t>when all NR UEs are type-A devices</w:t>
      </w:r>
      <w:r w:rsidR="00E22738">
        <w:t xml:space="preserve"> and</w:t>
      </w:r>
      <w:r w:rsidR="007F282C">
        <w:t xml:space="preserve"> </w:t>
      </w:r>
      <w:r w:rsidR="00010396" w:rsidDel="00E22738">
        <w:t xml:space="preserve">if </w:t>
      </w:r>
      <w:r w:rsidR="00E22738">
        <w:t>all</w:t>
      </w:r>
      <w:r w:rsidR="00B724E7">
        <w:t xml:space="preserve"> UEs</w:t>
      </w:r>
      <w:r w:rsidR="00787882">
        <w:t xml:space="preserve"> (including LTE legacy and NR release-18) </w:t>
      </w:r>
      <w:r w:rsidR="00CA01BC">
        <w:t>rely on LTE SLSS</w:t>
      </w:r>
      <w:r w:rsidR="00A938B1">
        <w:t>.</w:t>
      </w:r>
    </w:p>
    <w:p w14:paraId="24BE6F0C" w14:textId="77777777" w:rsidR="00A938B1" w:rsidRDefault="00A938B1" w:rsidP="00122D89">
      <w:pPr>
        <w:pStyle w:val="NoSpacing"/>
      </w:pPr>
    </w:p>
    <w:p w14:paraId="23E4053B" w14:textId="0CAC4CA6" w:rsidR="00122D89" w:rsidRPr="003528AD" w:rsidRDefault="000D2477" w:rsidP="006742D0">
      <w:pPr>
        <w:pStyle w:val="Proposal"/>
      </w:pPr>
      <w:bookmarkStart w:id="64" w:name="_Toc118727577"/>
      <w:r>
        <w:t>RAN1 specifies for type-A devices to follow LTE SLSS</w:t>
      </w:r>
      <w:r w:rsidR="00BB5310">
        <w:t>, if available,</w:t>
      </w:r>
      <w:r>
        <w:t xml:space="preserve"> in the context of coexistence between LTE and NR </w:t>
      </w:r>
      <w:proofErr w:type="spellStart"/>
      <w:r>
        <w:t>sidelinks</w:t>
      </w:r>
      <w:proofErr w:type="spellEnd"/>
      <w:r>
        <w:t>.</w:t>
      </w:r>
      <w:bookmarkEnd w:id="64"/>
    </w:p>
    <w:p w14:paraId="37EB5693" w14:textId="4510ADA4" w:rsidR="00C01F33" w:rsidRPr="00CE0424" w:rsidRDefault="00040C68" w:rsidP="00AF7C00">
      <w:pPr>
        <w:pStyle w:val="Heading1"/>
      </w:pPr>
      <w:r>
        <w:lastRenderedPageBreak/>
        <w:t>4</w:t>
      </w:r>
      <w:r w:rsidR="00691802">
        <w:tab/>
      </w:r>
      <w:r w:rsidR="00C01F33" w:rsidRPr="00CE0424">
        <w:t>Conclusion</w:t>
      </w:r>
    </w:p>
    <w:p w14:paraId="5A650F21" w14:textId="77777777" w:rsidR="008E065E" w:rsidRDefault="008E065E" w:rsidP="00A9723D">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F02E0E4" w14:textId="38F01056" w:rsidR="008E22E9" w:rsidRDefault="006F6582">
      <w:pPr>
        <w:pStyle w:val="TableofFigures"/>
        <w:tabs>
          <w:tab w:val="right" w:leader="dot" w:pos="9629"/>
        </w:tabs>
        <w:rPr>
          <w:rFonts w:asciiTheme="minorHAnsi" w:eastAsiaTheme="minorEastAsia" w:hAnsiTheme="minorHAnsi"/>
          <w:b w:val="0"/>
          <w:noProof/>
          <w:sz w:val="22"/>
          <w:lang w:val="en-DE" w:eastAsia="en-DE"/>
        </w:rPr>
      </w:pPr>
      <w:r>
        <w:rPr>
          <w:b w:val="0"/>
          <w:bCs/>
        </w:rPr>
        <w:fldChar w:fldCharType="begin"/>
      </w:r>
      <w:r>
        <w:rPr>
          <w:b w:val="0"/>
          <w:bCs/>
        </w:rPr>
        <w:instrText xml:space="preserve"> TOC \f O \n \h \z \t "Observation" \c </w:instrText>
      </w:r>
      <w:r>
        <w:rPr>
          <w:b w:val="0"/>
          <w:bCs/>
        </w:rPr>
        <w:fldChar w:fldCharType="separate"/>
      </w:r>
      <w:hyperlink w:anchor="_Toc118727578" w:history="1">
        <w:r w:rsidR="008E22E9" w:rsidRPr="002B6A19">
          <w:rPr>
            <w:rStyle w:val="Hyperlink"/>
            <w:noProof/>
          </w:rPr>
          <w:t>Observation 1</w:t>
        </w:r>
        <w:r w:rsidR="008E22E9">
          <w:rPr>
            <w:rFonts w:asciiTheme="minorHAnsi" w:eastAsiaTheme="minorEastAsia" w:hAnsiTheme="minorHAnsi"/>
            <w:b w:val="0"/>
            <w:noProof/>
            <w:sz w:val="22"/>
            <w:lang w:val="en-DE" w:eastAsia="en-DE"/>
          </w:rPr>
          <w:tab/>
        </w:r>
        <w:r w:rsidR="008E22E9" w:rsidRPr="002B6A19">
          <w:rPr>
            <w:rStyle w:val="Hyperlink"/>
            <w:noProof/>
          </w:rPr>
          <w:t>For LTE SL and NR SL co-channel coexistence, SCS is limited to 15 kHz.</w:t>
        </w:r>
      </w:hyperlink>
    </w:p>
    <w:p w14:paraId="3C7A797F" w14:textId="25DB2F45" w:rsidR="008E22E9" w:rsidRDefault="008E22E9">
      <w:pPr>
        <w:pStyle w:val="TableofFigures"/>
        <w:tabs>
          <w:tab w:val="right" w:leader="dot" w:pos="9629"/>
        </w:tabs>
        <w:rPr>
          <w:rFonts w:asciiTheme="minorHAnsi" w:eastAsiaTheme="minorEastAsia" w:hAnsiTheme="minorHAnsi"/>
          <w:b w:val="0"/>
          <w:noProof/>
          <w:sz w:val="22"/>
          <w:lang w:val="en-DE" w:eastAsia="en-DE"/>
        </w:rPr>
      </w:pPr>
      <w:hyperlink w:anchor="_Toc118727579" w:history="1">
        <w:r w:rsidRPr="002B6A19">
          <w:rPr>
            <w:rStyle w:val="Hyperlink"/>
            <w:noProof/>
          </w:rPr>
          <w:t>Observation 2</w:t>
        </w:r>
        <w:r>
          <w:rPr>
            <w:rFonts w:asciiTheme="minorHAnsi" w:eastAsiaTheme="minorEastAsia" w:hAnsiTheme="minorHAnsi"/>
            <w:b w:val="0"/>
            <w:noProof/>
            <w:sz w:val="22"/>
            <w:lang w:val="en-DE" w:eastAsia="en-DE"/>
          </w:rPr>
          <w:tab/>
        </w:r>
        <w:r w:rsidRPr="002B6A19">
          <w:rPr>
            <w:rStyle w:val="Hyperlink"/>
            <w:noProof/>
          </w:rPr>
          <w:t>For LTE SL and NR SL co-channel coexistence, PSFCH periodicity should be 2 or 4.</w:t>
        </w:r>
      </w:hyperlink>
    </w:p>
    <w:p w14:paraId="4193E1D7" w14:textId="7A8AA65F" w:rsidR="008E22E9" w:rsidRDefault="008E22E9">
      <w:pPr>
        <w:pStyle w:val="TableofFigures"/>
        <w:tabs>
          <w:tab w:val="right" w:leader="dot" w:pos="9629"/>
        </w:tabs>
        <w:rPr>
          <w:rFonts w:asciiTheme="minorHAnsi" w:eastAsiaTheme="minorEastAsia" w:hAnsiTheme="minorHAnsi"/>
          <w:b w:val="0"/>
          <w:noProof/>
          <w:sz w:val="22"/>
          <w:lang w:val="en-DE" w:eastAsia="en-DE"/>
        </w:rPr>
      </w:pPr>
      <w:hyperlink w:anchor="_Toc118727580" w:history="1">
        <w:r w:rsidRPr="002B6A19">
          <w:rPr>
            <w:rStyle w:val="Hyperlink"/>
            <w:noProof/>
            <w:lang w:val="en-GB"/>
          </w:rPr>
          <w:t>Observation 3</w:t>
        </w:r>
        <w:r>
          <w:rPr>
            <w:rFonts w:asciiTheme="minorHAnsi" w:eastAsiaTheme="minorEastAsia" w:hAnsiTheme="minorHAnsi"/>
            <w:b w:val="0"/>
            <w:noProof/>
            <w:sz w:val="22"/>
            <w:lang w:val="en-DE" w:eastAsia="en-DE"/>
          </w:rPr>
          <w:tab/>
        </w:r>
        <w:r w:rsidRPr="002B6A19">
          <w:rPr>
            <w:rStyle w:val="Hyperlink"/>
            <w:noProof/>
            <w:lang w:val="en-GB"/>
          </w:rPr>
          <w:t>Avoiding transmission of PSFCH in LTE SL subframe impacts the reliability and spectral efficiency of NR SL transmission.</w:t>
        </w:r>
      </w:hyperlink>
    </w:p>
    <w:p w14:paraId="614BD3BD" w14:textId="6A8DB52D" w:rsidR="008E22E9" w:rsidRDefault="008E22E9">
      <w:pPr>
        <w:pStyle w:val="TableofFigures"/>
        <w:tabs>
          <w:tab w:val="right" w:leader="dot" w:pos="9629"/>
        </w:tabs>
        <w:rPr>
          <w:rFonts w:asciiTheme="minorHAnsi" w:eastAsiaTheme="minorEastAsia" w:hAnsiTheme="minorHAnsi"/>
          <w:b w:val="0"/>
          <w:noProof/>
          <w:sz w:val="22"/>
          <w:lang w:val="en-DE" w:eastAsia="en-DE"/>
        </w:rPr>
      </w:pPr>
      <w:hyperlink w:anchor="_Toc118727581" w:history="1">
        <w:r w:rsidRPr="002B6A19">
          <w:rPr>
            <w:rStyle w:val="Hyperlink"/>
            <w:noProof/>
            <w:lang w:val="en-GB"/>
          </w:rPr>
          <w:t>Observation 4</w:t>
        </w:r>
        <w:r>
          <w:rPr>
            <w:rFonts w:asciiTheme="minorHAnsi" w:eastAsiaTheme="minorEastAsia" w:hAnsiTheme="minorHAnsi"/>
            <w:b w:val="0"/>
            <w:noProof/>
            <w:sz w:val="22"/>
            <w:lang w:val="en-DE" w:eastAsia="en-DE"/>
          </w:rPr>
          <w:tab/>
        </w:r>
        <w:r w:rsidRPr="002B6A19">
          <w:rPr>
            <w:rStyle w:val="Hyperlink"/>
            <w:noProof/>
            <w:lang w:val="en-GB"/>
          </w:rPr>
          <w:t>LTE Resource exclusion based on RSSI averages may successfully exclude resources in subframes overlapping with NR slots configured with PSFCH.</w:t>
        </w:r>
      </w:hyperlink>
    </w:p>
    <w:p w14:paraId="3506E34F" w14:textId="2FF09238" w:rsidR="008E22E9" w:rsidRDefault="008E22E9">
      <w:pPr>
        <w:pStyle w:val="TableofFigures"/>
        <w:tabs>
          <w:tab w:val="right" w:leader="dot" w:pos="9629"/>
        </w:tabs>
        <w:rPr>
          <w:rFonts w:asciiTheme="minorHAnsi" w:eastAsiaTheme="minorEastAsia" w:hAnsiTheme="minorHAnsi"/>
          <w:b w:val="0"/>
          <w:noProof/>
          <w:sz w:val="22"/>
          <w:lang w:val="en-DE" w:eastAsia="en-DE"/>
        </w:rPr>
      </w:pPr>
      <w:hyperlink w:anchor="_Toc118727582" w:history="1">
        <w:r w:rsidRPr="002B6A19">
          <w:rPr>
            <w:rStyle w:val="Hyperlink"/>
            <w:noProof/>
            <w:lang w:val="en-GB"/>
          </w:rPr>
          <w:t>Observation 5</w:t>
        </w:r>
        <w:r>
          <w:rPr>
            <w:rFonts w:asciiTheme="minorHAnsi" w:eastAsiaTheme="minorEastAsia" w:hAnsiTheme="minorHAnsi"/>
            <w:b w:val="0"/>
            <w:noProof/>
            <w:sz w:val="22"/>
            <w:lang w:val="en-DE" w:eastAsia="en-DE"/>
          </w:rPr>
          <w:tab/>
        </w:r>
        <w:r w:rsidRPr="002B6A19">
          <w:rPr>
            <w:rStyle w:val="Hyperlink"/>
            <w:noProof/>
            <w:lang w:val="en-GB"/>
          </w:rPr>
          <w:t>For correct coexistence between NR and LTE sidelinks, NR UEs should prioritize transmitting PSCCH+PSSCH using slots with PSFCH resources.</w:t>
        </w:r>
      </w:hyperlink>
    </w:p>
    <w:p w14:paraId="644B2BE2" w14:textId="43E044F3" w:rsidR="008E22E9" w:rsidRDefault="008E22E9">
      <w:pPr>
        <w:pStyle w:val="TableofFigures"/>
        <w:tabs>
          <w:tab w:val="right" w:leader="dot" w:pos="9629"/>
        </w:tabs>
        <w:rPr>
          <w:rFonts w:asciiTheme="minorHAnsi" w:eastAsiaTheme="minorEastAsia" w:hAnsiTheme="minorHAnsi"/>
          <w:b w:val="0"/>
          <w:noProof/>
          <w:sz w:val="22"/>
          <w:lang w:val="en-DE" w:eastAsia="en-DE"/>
        </w:rPr>
      </w:pPr>
      <w:hyperlink w:anchor="_Toc118727583" w:history="1">
        <w:r w:rsidRPr="002B6A19">
          <w:rPr>
            <w:rStyle w:val="Hyperlink"/>
            <w:noProof/>
          </w:rPr>
          <w:t>Observation 6</w:t>
        </w:r>
        <w:r>
          <w:rPr>
            <w:rFonts w:asciiTheme="minorHAnsi" w:eastAsiaTheme="minorEastAsia" w:hAnsiTheme="minorHAnsi"/>
            <w:b w:val="0"/>
            <w:noProof/>
            <w:sz w:val="22"/>
            <w:lang w:val="en-DE" w:eastAsia="en-DE"/>
          </w:rPr>
          <w:tab/>
        </w:r>
        <w:r w:rsidRPr="002B6A19">
          <w:rPr>
            <w:rStyle w:val="Hyperlink"/>
            <w:noProof/>
          </w:rPr>
          <w:t>To avoid proper operation of the sensing procedure and exclusion of all the LTE resources in subframes overlapping with NR slots with PSFCH resources it is important that RSSI measurements in all LTE sub-channels reflect the presence of PSFCH transmissions.</w:t>
        </w:r>
      </w:hyperlink>
    </w:p>
    <w:p w14:paraId="32DF634E" w14:textId="63D45A07" w:rsidR="008E22E9" w:rsidRDefault="008E22E9">
      <w:pPr>
        <w:pStyle w:val="TableofFigures"/>
        <w:tabs>
          <w:tab w:val="right" w:leader="dot" w:pos="9629"/>
        </w:tabs>
        <w:rPr>
          <w:rFonts w:asciiTheme="minorHAnsi" w:eastAsiaTheme="minorEastAsia" w:hAnsiTheme="minorHAnsi"/>
          <w:b w:val="0"/>
          <w:noProof/>
          <w:sz w:val="22"/>
          <w:lang w:val="en-DE" w:eastAsia="en-DE"/>
        </w:rPr>
      </w:pPr>
      <w:hyperlink w:anchor="_Toc118727584" w:history="1">
        <w:r w:rsidRPr="002B6A19">
          <w:rPr>
            <w:rStyle w:val="Hyperlink"/>
            <w:noProof/>
          </w:rPr>
          <w:t>Observation 7</w:t>
        </w:r>
        <w:r>
          <w:rPr>
            <w:rFonts w:asciiTheme="minorHAnsi" w:eastAsiaTheme="minorEastAsia" w:hAnsiTheme="minorHAnsi"/>
            <w:b w:val="0"/>
            <w:noProof/>
            <w:sz w:val="22"/>
            <w:lang w:val="en-DE" w:eastAsia="en-DE"/>
          </w:rPr>
          <w:tab/>
        </w:r>
        <w:r w:rsidRPr="002B6A19">
          <w:rPr>
            <w:rStyle w:val="Hyperlink"/>
            <w:noProof/>
          </w:rPr>
          <w:t>In some cases, the mismatch between logical and physical slots can make a problem in detecting periodic PSFCH transmission and in some cases, there is none or minimum impact.</w:t>
        </w:r>
      </w:hyperlink>
    </w:p>
    <w:p w14:paraId="3EF177E2" w14:textId="504A38D0" w:rsidR="008E22E9" w:rsidRDefault="008E22E9">
      <w:pPr>
        <w:pStyle w:val="TableofFigures"/>
        <w:tabs>
          <w:tab w:val="right" w:leader="dot" w:pos="9629"/>
        </w:tabs>
        <w:rPr>
          <w:rFonts w:asciiTheme="minorHAnsi" w:eastAsiaTheme="minorEastAsia" w:hAnsiTheme="minorHAnsi"/>
          <w:b w:val="0"/>
          <w:noProof/>
          <w:sz w:val="22"/>
          <w:lang w:val="en-DE" w:eastAsia="en-DE"/>
        </w:rPr>
      </w:pPr>
      <w:hyperlink w:anchor="_Toc118727585" w:history="1">
        <w:r w:rsidRPr="002B6A19">
          <w:rPr>
            <w:rStyle w:val="Hyperlink"/>
            <w:rFonts w:cs="Arial"/>
            <w:noProof/>
            <w:lang w:val="en-GB"/>
          </w:rPr>
          <w:t>Observation 8</w:t>
        </w:r>
        <w:r>
          <w:rPr>
            <w:rFonts w:asciiTheme="minorHAnsi" w:eastAsiaTheme="minorEastAsia" w:hAnsiTheme="minorHAnsi"/>
            <w:b w:val="0"/>
            <w:noProof/>
            <w:sz w:val="22"/>
            <w:lang w:val="en-DE" w:eastAsia="en-DE"/>
          </w:rPr>
          <w:tab/>
        </w:r>
        <w:r w:rsidRPr="002B6A19">
          <w:rPr>
            <w:rStyle w:val="Hyperlink"/>
            <w:noProof/>
            <w:lang w:val="en-GB"/>
          </w:rPr>
          <w:t>Detection of LTE SL transmissions can be direct, indirect or by means of explicit signalling.</w:t>
        </w:r>
      </w:hyperlink>
    </w:p>
    <w:p w14:paraId="5F69EC0F" w14:textId="502B60C9" w:rsidR="006E1C82" w:rsidRDefault="006F6582" w:rsidP="00A9723D">
      <w:pPr>
        <w:pStyle w:val="BodyText"/>
        <w:rPr>
          <w:b/>
          <w:bCs/>
        </w:rPr>
      </w:pPr>
      <w:r>
        <w:rPr>
          <w:b/>
          <w:bCs/>
        </w:rPr>
        <w:fldChar w:fldCharType="end"/>
      </w:r>
    </w:p>
    <w:p w14:paraId="6225A1B8" w14:textId="77777777" w:rsidR="006E1C82" w:rsidRDefault="008E065E" w:rsidP="00A9723D">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8E438CE" w14:textId="235002C2" w:rsidR="008E22E9" w:rsidRDefault="006E1C82">
      <w:pPr>
        <w:pStyle w:val="TableofFigures"/>
        <w:tabs>
          <w:tab w:val="right" w:leader="dot" w:pos="9629"/>
        </w:tabs>
        <w:rPr>
          <w:rFonts w:asciiTheme="minorHAnsi" w:eastAsiaTheme="minorEastAsia" w:hAnsiTheme="minorHAnsi"/>
          <w:b w:val="0"/>
          <w:noProof/>
          <w:sz w:val="22"/>
          <w:lang w:val="en-DE" w:eastAsia="en-DE"/>
        </w:rPr>
      </w:pPr>
      <w:r>
        <w:rPr>
          <w:b w:val="0"/>
          <w:bCs/>
        </w:rPr>
        <w:fldChar w:fldCharType="begin"/>
      </w:r>
      <w:r>
        <w:rPr>
          <w:b w:val="0"/>
          <w:bCs/>
        </w:rPr>
        <w:instrText xml:space="preserve"> TOC \n \h \z \t "Proposal" \c </w:instrText>
      </w:r>
      <w:r>
        <w:rPr>
          <w:b w:val="0"/>
          <w:bCs/>
        </w:rPr>
        <w:fldChar w:fldCharType="separate"/>
      </w:r>
      <w:hyperlink w:anchor="_Toc118727545" w:history="1">
        <w:r w:rsidR="008E22E9" w:rsidRPr="0028086E">
          <w:rPr>
            <w:rStyle w:val="Hyperlink"/>
            <w:rFonts w:cs="Arial"/>
            <w:noProof/>
            <w:lang w:val="en-GB" w:eastAsia="ja-JP"/>
          </w:rPr>
          <w:t>Proposal 1</w:t>
        </w:r>
        <w:r w:rsidR="008E22E9">
          <w:rPr>
            <w:rFonts w:asciiTheme="minorHAnsi" w:eastAsiaTheme="minorEastAsia" w:hAnsiTheme="minorHAnsi"/>
            <w:b w:val="0"/>
            <w:noProof/>
            <w:sz w:val="22"/>
            <w:lang w:val="en-DE" w:eastAsia="en-DE"/>
          </w:rPr>
          <w:tab/>
        </w:r>
        <w:r w:rsidR="008E22E9" w:rsidRPr="0028086E">
          <w:rPr>
            <w:rStyle w:val="Hyperlink"/>
            <w:rFonts w:cs="Arial"/>
            <w:noProof/>
            <w:lang w:val="en-GB" w:eastAsia="ja-JP"/>
          </w:rPr>
          <w:t>RAN1 discusses solutions for co-channel coexistence that meet the following principles:</w:t>
        </w:r>
      </w:hyperlink>
    </w:p>
    <w:p w14:paraId="0663E538" w14:textId="76D05AD6" w:rsidR="008E22E9" w:rsidRDefault="008E22E9">
      <w:pPr>
        <w:pStyle w:val="TableofFigures"/>
        <w:tabs>
          <w:tab w:val="right" w:leader="dot" w:pos="9629"/>
        </w:tabs>
        <w:rPr>
          <w:rFonts w:asciiTheme="minorHAnsi" w:eastAsiaTheme="minorEastAsia" w:hAnsiTheme="minorHAnsi"/>
          <w:b w:val="0"/>
          <w:noProof/>
          <w:sz w:val="22"/>
          <w:lang w:val="en-DE" w:eastAsia="en-DE"/>
        </w:rPr>
      </w:pPr>
      <w:hyperlink w:anchor="_Toc118727546" w:history="1">
        <w:r w:rsidRPr="0028086E">
          <w:rPr>
            <w:rStyle w:val="Hyperlink"/>
            <w:rFonts w:ascii="Symbol" w:hAnsi="Symbol"/>
            <w:noProof/>
            <w:lang w:val="en-GB"/>
          </w:rPr>
          <w:t></w:t>
        </w:r>
        <w:r>
          <w:rPr>
            <w:rFonts w:asciiTheme="minorHAnsi" w:eastAsiaTheme="minorEastAsia" w:hAnsiTheme="minorHAnsi"/>
            <w:b w:val="0"/>
            <w:noProof/>
            <w:sz w:val="22"/>
            <w:lang w:val="en-DE" w:eastAsia="en-DE"/>
          </w:rPr>
          <w:tab/>
        </w:r>
        <w:r w:rsidRPr="0028086E">
          <w:rPr>
            <w:rStyle w:val="Hyperlink"/>
            <w:noProof/>
            <w:lang w:val="en-GB"/>
          </w:rPr>
          <w:t>Changes to the configuration (e.g., pool configuration) are possible but should be minimized.</w:t>
        </w:r>
      </w:hyperlink>
    </w:p>
    <w:p w14:paraId="415D5987" w14:textId="6905BBF0" w:rsidR="008E22E9" w:rsidRDefault="008E22E9">
      <w:pPr>
        <w:pStyle w:val="TableofFigures"/>
        <w:tabs>
          <w:tab w:val="right" w:leader="dot" w:pos="9629"/>
        </w:tabs>
        <w:rPr>
          <w:rFonts w:asciiTheme="minorHAnsi" w:eastAsiaTheme="minorEastAsia" w:hAnsiTheme="minorHAnsi"/>
          <w:b w:val="0"/>
          <w:noProof/>
          <w:sz w:val="22"/>
          <w:lang w:val="en-DE" w:eastAsia="en-DE"/>
        </w:rPr>
      </w:pPr>
      <w:hyperlink w:anchor="_Toc118727547" w:history="1">
        <w:r w:rsidRPr="0028086E">
          <w:rPr>
            <w:rStyle w:val="Hyperlink"/>
            <w:rFonts w:ascii="Symbol" w:hAnsi="Symbol"/>
            <w:noProof/>
            <w:lang w:val="en-GB"/>
          </w:rPr>
          <w:t></w:t>
        </w:r>
        <w:r>
          <w:rPr>
            <w:rFonts w:asciiTheme="minorHAnsi" w:eastAsiaTheme="minorEastAsia" w:hAnsiTheme="minorHAnsi"/>
            <w:b w:val="0"/>
            <w:noProof/>
            <w:sz w:val="22"/>
            <w:lang w:val="en-DE" w:eastAsia="en-DE"/>
          </w:rPr>
          <w:tab/>
        </w:r>
        <w:r w:rsidRPr="0028086E">
          <w:rPr>
            <w:rStyle w:val="Hyperlink"/>
            <w:noProof/>
            <w:lang w:val="en-GB"/>
          </w:rPr>
          <w:t>The impact of having co-channel deployments to the different RATs should be as limited as possible.</w:t>
        </w:r>
      </w:hyperlink>
    </w:p>
    <w:p w14:paraId="3540751F" w14:textId="73979918" w:rsidR="008E22E9" w:rsidRDefault="008E22E9">
      <w:pPr>
        <w:pStyle w:val="TableofFigures"/>
        <w:tabs>
          <w:tab w:val="right" w:leader="dot" w:pos="9629"/>
        </w:tabs>
        <w:rPr>
          <w:rFonts w:asciiTheme="minorHAnsi" w:eastAsiaTheme="minorEastAsia" w:hAnsiTheme="minorHAnsi"/>
          <w:b w:val="0"/>
          <w:noProof/>
          <w:sz w:val="22"/>
          <w:lang w:val="en-DE" w:eastAsia="en-DE"/>
        </w:rPr>
      </w:pPr>
      <w:hyperlink w:anchor="_Toc118727548" w:history="1">
        <w:r w:rsidRPr="0028086E">
          <w:rPr>
            <w:rStyle w:val="Hyperlink"/>
            <w:noProof/>
            <w:lang w:val="en-GB"/>
          </w:rPr>
          <w:t>Proposal 2</w:t>
        </w:r>
        <w:r>
          <w:rPr>
            <w:rFonts w:asciiTheme="minorHAnsi" w:eastAsiaTheme="minorEastAsia" w:hAnsiTheme="minorHAnsi"/>
            <w:b w:val="0"/>
            <w:noProof/>
            <w:sz w:val="22"/>
            <w:lang w:val="en-DE" w:eastAsia="en-DE"/>
          </w:rPr>
          <w:tab/>
        </w:r>
        <w:r w:rsidRPr="0028086E">
          <w:rPr>
            <w:rStyle w:val="Hyperlink"/>
            <w:noProof/>
            <w:lang w:val="en-GB"/>
          </w:rPr>
          <w:t>RAN1 considers Alt 1 as an optimization step on top of Alt 2.</w:t>
        </w:r>
      </w:hyperlink>
    </w:p>
    <w:p w14:paraId="04DA0161" w14:textId="3CAC5DEE" w:rsidR="008E22E9" w:rsidRDefault="008E22E9">
      <w:pPr>
        <w:pStyle w:val="TableofFigures"/>
        <w:tabs>
          <w:tab w:val="right" w:leader="dot" w:pos="9629"/>
        </w:tabs>
        <w:rPr>
          <w:rFonts w:asciiTheme="minorHAnsi" w:eastAsiaTheme="minorEastAsia" w:hAnsiTheme="minorHAnsi"/>
          <w:b w:val="0"/>
          <w:noProof/>
          <w:sz w:val="22"/>
          <w:lang w:val="en-DE" w:eastAsia="en-DE"/>
        </w:rPr>
      </w:pPr>
      <w:hyperlink w:anchor="_Toc118727549" w:history="1">
        <w:r w:rsidRPr="0028086E">
          <w:rPr>
            <w:rStyle w:val="Hyperlink"/>
            <w:rFonts w:cs="Arial"/>
            <w:noProof/>
            <w:lang w:val="en-GB" w:eastAsia="ja-JP"/>
          </w:rPr>
          <w:t>Proposal 3</w:t>
        </w:r>
        <w:r>
          <w:rPr>
            <w:rFonts w:asciiTheme="minorHAnsi" w:eastAsiaTheme="minorEastAsia" w:hAnsiTheme="minorHAnsi"/>
            <w:b w:val="0"/>
            <w:noProof/>
            <w:sz w:val="22"/>
            <w:lang w:val="en-DE" w:eastAsia="en-DE"/>
          </w:rPr>
          <w:tab/>
        </w:r>
        <w:r w:rsidRPr="0028086E">
          <w:rPr>
            <w:rStyle w:val="Hyperlink"/>
            <w:rFonts w:cs="Arial"/>
            <w:noProof/>
            <w:lang w:val="en-GB" w:eastAsia="ja-JP"/>
          </w:rPr>
          <w:t>Alt 1, if supported, shall consists of the sequential steps: a) follow Step 1, b) if Step 1 fails, follow Step 2 and c) if Step 2 also fails, follow Step 3, whereby</w:t>
        </w:r>
      </w:hyperlink>
    </w:p>
    <w:p w14:paraId="3A7394EB" w14:textId="77F4E1A1" w:rsidR="008E22E9" w:rsidRDefault="008E22E9">
      <w:pPr>
        <w:pStyle w:val="TableofFigures"/>
        <w:tabs>
          <w:tab w:val="right" w:leader="dot" w:pos="9629"/>
        </w:tabs>
        <w:rPr>
          <w:rFonts w:asciiTheme="minorHAnsi" w:eastAsiaTheme="minorEastAsia" w:hAnsiTheme="minorHAnsi"/>
          <w:b w:val="0"/>
          <w:noProof/>
          <w:sz w:val="22"/>
          <w:lang w:val="en-DE" w:eastAsia="en-DE"/>
        </w:rPr>
      </w:pPr>
      <w:hyperlink w:anchor="_Toc118727550" w:history="1">
        <w:r w:rsidRPr="0028086E">
          <w:rPr>
            <w:rStyle w:val="Hyperlink"/>
            <w:rFonts w:ascii="Symbol" w:hAnsi="Symbol"/>
            <w:noProof/>
          </w:rPr>
          <w:t></w:t>
        </w:r>
        <w:r>
          <w:rPr>
            <w:rFonts w:asciiTheme="minorHAnsi" w:eastAsiaTheme="minorEastAsia" w:hAnsiTheme="minorHAnsi"/>
            <w:b w:val="0"/>
            <w:noProof/>
            <w:sz w:val="22"/>
            <w:lang w:val="en-DE" w:eastAsia="en-DE"/>
          </w:rPr>
          <w:tab/>
        </w:r>
        <w:r w:rsidRPr="0028086E">
          <w:rPr>
            <w:rStyle w:val="Hyperlink"/>
            <w:noProof/>
          </w:rPr>
          <w:t>Step 1: NR PSCCH/PSSCH TX UE avoids selecting resources that have an associated PSFCH occasion which overlaps with a reserved LTE SL transmission in time domain.</w:t>
        </w:r>
      </w:hyperlink>
    </w:p>
    <w:p w14:paraId="7F24DB6D" w14:textId="53E7F3E9" w:rsidR="008E22E9" w:rsidRDefault="008E22E9">
      <w:pPr>
        <w:pStyle w:val="TableofFigures"/>
        <w:tabs>
          <w:tab w:val="right" w:leader="dot" w:pos="9629"/>
        </w:tabs>
        <w:rPr>
          <w:rFonts w:asciiTheme="minorHAnsi" w:eastAsiaTheme="minorEastAsia" w:hAnsiTheme="minorHAnsi"/>
          <w:b w:val="0"/>
          <w:noProof/>
          <w:sz w:val="22"/>
          <w:lang w:val="en-DE" w:eastAsia="en-DE"/>
        </w:rPr>
      </w:pPr>
      <w:hyperlink w:anchor="_Toc118727551" w:history="1">
        <w:r w:rsidRPr="0028086E">
          <w:rPr>
            <w:rStyle w:val="Hyperlink"/>
            <w:rFonts w:ascii="Symbol" w:hAnsi="Symbol"/>
            <w:noProof/>
          </w:rPr>
          <w:t></w:t>
        </w:r>
        <w:r>
          <w:rPr>
            <w:rFonts w:asciiTheme="minorHAnsi" w:eastAsiaTheme="minorEastAsia" w:hAnsiTheme="minorHAnsi"/>
            <w:b w:val="0"/>
            <w:noProof/>
            <w:sz w:val="22"/>
            <w:lang w:val="en-DE" w:eastAsia="en-DE"/>
          </w:rPr>
          <w:tab/>
        </w:r>
        <w:r w:rsidRPr="0028086E">
          <w:rPr>
            <w:rStyle w:val="Hyperlink"/>
            <w:noProof/>
          </w:rPr>
          <w:t>Step 2: NR PSCCH/PSSCH TX UE avoids transmitting PSCCH/PSSCH in resources that have an associated PSFCH occasion which overlaps with a reserved LTE SL transmission.</w:t>
        </w:r>
      </w:hyperlink>
    </w:p>
    <w:p w14:paraId="4402DF8E" w14:textId="7FE27C88" w:rsidR="008E22E9" w:rsidRDefault="008E22E9">
      <w:pPr>
        <w:pStyle w:val="TableofFigures"/>
        <w:tabs>
          <w:tab w:val="right" w:leader="dot" w:pos="9629"/>
        </w:tabs>
        <w:rPr>
          <w:rFonts w:asciiTheme="minorHAnsi" w:eastAsiaTheme="minorEastAsia" w:hAnsiTheme="minorHAnsi"/>
          <w:b w:val="0"/>
          <w:noProof/>
          <w:sz w:val="22"/>
          <w:lang w:val="en-DE" w:eastAsia="en-DE"/>
        </w:rPr>
      </w:pPr>
      <w:hyperlink w:anchor="_Toc118727552" w:history="1">
        <w:r w:rsidRPr="0028086E">
          <w:rPr>
            <w:rStyle w:val="Hyperlink"/>
            <w:rFonts w:ascii="Symbol" w:hAnsi="Symbol"/>
            <w:noProof/>
          </w:rPr>
          <w:t></w:t>
        </w:r>
        <w:r>
          <w:rPr>
            <w:rFonts w:asciiTheme="minorHAnsi" w:eastAsiaTheme="minorEastAsia" w:hAnsiTheme="minorHAnsi"/>
            <w:b w:val="0"/>
            <w:noProof/>
            <w:sz w:val="22"/>
            <w:lang w:val="en-DE" w:eastAsia="en-DE"/>
          </w:rPr>
          <w:tab/>
        </w:r>
        <w:r w:rsidRPr="0028086E">
          <w:rPr>
            <w:rStyle w:val="Hyperlink"/>
            <w:noProof/>
          </w:rPr>
          <w:t>Step 3: PSCCH/PSSCH RX UE avoids transmitting PSFCH.</w:t>
        </w:r>
      </w:hyperlink>
    </w:p>
    <w:p w14:paraId="3D472746" w14:textId="0F1D936C" w:rsidR="008E22E9" w:rsidRDefault="008E22E9">
      <w:pPr>
        <w:pStyle w:val="TableofFigures"/>
        <w:tabs>
          <w:tab w:val="right" w:leader="dot" w:pos="9629"/>
        </w:tabs>
        <w:rPr>
          <w:rFonts w:asciiTheme="minorHAnsi" w:eastAsiaTheme="minorEastAsia" w:hAnsiTheme="minorHAnsi"/>
          <w:b w:val="0"/>
          <w:noProof/>
          <w:sz w:val="22"/>
          <w:lang w:val="en-DE" w:eastAsia="en-DE"/>
        </w:rPr>
      </w:pPr>
      <w:hyperlink w:anchor="_Toc118727553" w:history="1">
        <w:r w:rsidRPr="0028086E">
          <w:rPr>
            <w:rStyle w:val="Hyperlink"/>
            <w:noProof/>
          </w:rPr>
          <w:t>Proposal 4</w:t>
        </w:r>
        <w:r>
          <w:rPr>
            <w:rFonts w:asciiTheme="minorHAnsi" w:eastAsiaTheme="minorEastAsia" w:hAnsiTheme="minorHAnsi"/>
            <w:b w:val="0"/>
            <w:noProof/>
            <w:sz w:val="22"/>
            <w:lang w:val="en-DE" w:eastAsia="en-DE"/>
          </w:rPr>
          <w:tab/>
        </w:r>
        <w:r w:rsidRPr="0028086E">
          <w:rPr>
            <w:rStyle w:val="Hyperlink"/>
            <w:noProof/>
          </w:rPr>
          <w:t>Dynamic co-channel coexistence is based on having NR SL UEs using a periodically repeating set of PSFCH slots.</w:t>
        </w:r>
      </w:hyperlink>
    </w:p>
    <w:p w14:paraId="6DBA765A" w14:textId="1F9B3529" w:rsidR="008E22E9" w:rsidRDefault="008E22E9">
      <w:pPr>
        <w:pStyle w:val="TableofFigures"/>
        <w:tabs>
          <w:tab w:val="right" w:leader="dot" w:pos="9629"/>
        </w:tabs>
        <w:rPr>
          <w:rFonts w:asciiTheme="minorHAnsi" w:eastAsiaTheme="minorEastAsia" w:hAnsiTheme="minorHAnsi"/>
          <w:b w:val="0"/>
          <w:noProof/>
          <w:sz w:val="22"/>
          <w:lang w:val="en-DE" w:eastAsia="en-DE"/>
        </w:rPr>
      </w:pPr>
      <w:hyperlink w:anchor="_Toc118727554" w:history="1">
        <w:r w:rsidRPr="0028086E">
          <w:rPr>
            <w:rStyle w:val="Hyperlink"/>
            <w:rFonts w:eastAsia="MS Mincho" w:cs="Arial"/>
            <w:noProof/>
            <w:lang w:eastAsia="x-none"/>
          </w:rPr>
          <w:t>Proposal 5</w:t>
        </w:r>
        <w:r>
          <w:rPr>
            <w:rFonts w:asciiTheme="minorHAnsi" w:eastAsiaTheme="minorEastAsia" w:hAnsiTheme="minorHAnsi"/>
            <w:b w:val="0"/>
            <w:noProof/>
            <w:sz w:val="22"/>
            <w:lang w:val="en-DE" w:eastAsia="en-DE"/>
          </w:rPr>
          <w:tab/>
        </w:r>
        <w:r w:rsidRPr="0028086E">
          <w:rPr>
            <w:rStyle w:val="Hyperlink"/>
            <w:noProof/>
          </w:rPr>
          <w:t>In designing dynamic co-channel coexistence solutions, RAN1 support Alt.2 assuming that the resource pool configuration defines PSFCH periodicity of 2 or 4 slots.</w:t>
        </w:r>
      </w:hyperlink>
    </w:p>
    <w:p w14:paraId="255B574E" w14:textId="32C137FD" w:rsidR="008E22E9" w:rsidRDefault="008E22E9">
      <w:pPr>
        <w:pStyle w:val="TableofFigures"/>
        <w:tabs>
          <w:tab w:val="right" w:leader="dot" w:pos="9629"/>
        </w:tabs>
        <w:rPr>
          <w:rFonts w:asciiTheme="minorHAnsi" w:eastAsiaTheme="minorEastAsia" w:hAnsiTheme="minorHAnsi"/>
          <w:b w:val="0"/>
          <w:noProof/>
          <w:sz w:val="22"/>
          <w:lang w:val="en-DE" w:eastAsia="en-DE"/>
        </w:rPr>
      </w:pPr>
      <w:hyperlink w:anchor="_Toc118727555" w:history="1">
        <w:r w:rsidRPr="0028086E">
          <w:rPr>
            <w:rStyle w:val="Hyperlink"/>
            <w:noProof/>
            <w:lang w:val="en-GB"/>
          </w:rPr>
          <w:t>Proposal 6</w:t>
        </w:r>
        <w:r>
          <w:rPr>
            <w:rFonts w:asciiTheme="minorHAnsi" w:eastAsiaTheme="minorEastAsia" w:hAnsiTheme="minorHAnsi"/>
            <w:b w:val="0"/>
            <w:noProof/>
            <w:sz w:val="22"/>
            <w:lang w:val="en-DE" w:eastAsia="en-DE"/>
          </w:rPr>
          <w:tab/>
        </w:r>
        <w:r w:rsidRPr="0028086E">
          <w:rPr>
            <w:rStyle w:val="Hyperlink"/>
            <w:noProof/>
            <w:lang w:val="en-GB"/>
          </w:rPr>
          <w:t xml:space="preserve">For dynamic coexistence of NR and LTE SLs, </w:t>
        </w:r>
        <w:r w:rsidRPr="0028086E">
          <w:rPr>
            <w:rStyle w:val="Hyperlink"/>
            <w:noProof/>
          </w:rPr>
          <w:t>Alt 2 is supported:</w:t>
        </w:r>
      </w:hyperlink>
    </w:p>
    <w:p w14:paraId="3C310182" w14:textId="0E7C962F" w:rsidR="008E22E9" w:rsidRDefault="008E22E9">
      <w:pPr>
        <w:pStyle w:val="TableofFigures"/>
        <w:tabs>
          <w:tab w:val="right" w:leader="dot" w:pos="9629"/>
        </w:tabs>
        <w:rPr>
          <w:rFonts w:asciiTheme="minorHAnsi" w:eastAsiaTheme="minorEastAsia" w:hAnsiTheme="minorHAnsi"/>
          <w:b w:val="0"/>
          <w:noProof/>
          <w:sz w:val="22"/>
          <w:lang w:val="en-DE" w:eastAsia="en-DE"/>
        </w:rPr>
      </w:pPr>
      <w:hyperlink w:anchor="_Toc118727556" w:history="1">
        <w:r w:rsidRPr="0028086E">
          <w:rPr>
            <w:rStyle w:val="Hyperlink"/>
            <w:rFonts w:ascii="Symbol" w:hAnsi="Symbol"/>
            <w:noProof/>
            <w:lang w:val="en-GB"/>
          </w:rPr>
          <w:t></w:t>
        </w:r>
        <w:r>
          <w:rPr>
            <w:rFonts w:asciiTheme="minorHAnsi" w:eastAsiaTheme="minorEastAsia" w:hAnsiTheme="minorHAnsi"/>
            <w:b w:val="0"/>
            <w:noProof/>
            <w:sz w:val="22"/>
            <w:lang w:val="en-DE" w:eastAsia="en-DE"/>
          </w:rPr>
          <w:tab/>
        </w:r>
        <w:r w:rsidRPr="0028086E">
          <w:rPr>
            <w:rStyle w:val="Hyperlink"/>
            <w:noProof/>
            <w:lang w:val="en-GB"/>
          </w:rPr>
          <w:t xml:space="preserve">Rel-18 NR UEs prioritize </w:t>
        </w:r>
        <w:r w:rsidRPr="0028086E">
          <w:rPr>
            <w:rStyle w:val="Hyperlink"/>
            <w:noProof/>
          </w:rPr>
          <w:t>transmission of PSCCH/PSSCH in slots belonging to a periodically repeating set of slots that are configured with PSFCH resources</w:t>
        </w:r>
        <w:r w:rsidRPr="0028086E">
          <w:rPr>
            <w:rStyle w:val="Hyperlink"/>
            <w:rFonts w:cs="Arial"/>
            <w:noProof/>
            <w:lang w:val="en-GB" w:eastAsia="ja-JP"/>
          </w:rPr>
          <w:t>.</w:t>
        </w:r>
      </w:hyperlink>
    </w:p>
    <w:p w14:paraId="3F13BE94" w14:textId="23E980B5" w:rsidR="008E22E9" w:rsidRDefault="008E22E9">
      <w:pPr>
        <w:pStyle w:val="TableofFigures"/>
        <w:tabs>
          <w:tab w:val="right" w:leader="dot" w:pos="9629"/>
        </w:tabs>
        <w:rPr>
          <w:rFonts w:asciiTheme="minorHAnsi" w:eastAsiaTheme="minorEastAsia" w:hAnsiTheme="minorHAnsi"/>
          <w:b w:val="0"/>
          <w:noProof/>
          <w:sz w:val="22"/>
          <w:lang w:val="en-DE" w:eastAsia="en-DE"/>
        </w:rPr>
      </w:pPr>
      <w:hyperlink w:anchor="_Toc118727557" w:history="1">
        <w:r w:rsidRPr="0028086E">
          <w:rPr>
            <w:rStyle w:val="Hyperlink"/>
            <w:rFonts w:ascii="Symbol" w:hAnsi="Symbol"/>
            <w:noProof/>
            <w:lang w:val="en-GB"/>
          </w:rPr>
          <w:t></w:t>
        </w:r>
        <w:r>
          <w:rPr>
            <w:rFonts w:asciiTheme="minorHAnsi" w:eastAsiaTheme="minorEastAsia" w:hAnsiTheme="minorHAnsi"/>
            <w:b w:val="0"/>
            <w:noProof/>
            <w:sz w:val="22"/>
            <w:lang w:val="en-DE" w:eastAsia="en-DE"/>
          </w:rPr>
          <w:tab/>
        </w:r>
        <w:r w:rsidRPr="0028086E">
          <w:rPr>
            <w:rStyle w:val="Hyperlink"/>
            <w:noProof/>
          </w:rPr>
          <w:t>The corresponding SL HARQ FB is also transmitted in slots belonging to the periodically repeating set of slots that are configured with PSFCH resources</w:t>
        </w:r>
        <w:r w:rsidRPr="0028086E">
          <w:rPr>
            <w:rStyle w:val="Hyperlink"/>
            <w:rFonts w:cs="Arial"/>
            <w:noProof/>
            <w:lang w:val="en-GB" w:eastAsia="ja-JP"/>
          </w:rPr>
          <w:t>.</w:t>
        </w:r>
      </w:hyperlink>
    </w:p>
    <w:p w14:paraId="7383123F" w14:textId="7A892F83" w:rsidR="008E22E9" w:rsidRDefault="008E22E9">
      <w:pPr>
        <w:pStyle w:val="TableofFigures"/>
        <w:tabs>
          <w:tab w:val="right" w:leader="dot" w:pos="9629"/>
        </w:tabs>
        <w:rPr>
          <w:rFonts w:asciiTheme="minorHAnsi" w:eastAsiaTheme="minorEastAsia" w:hAnsiTheme="minorHAnsi"/>
          <w:b w:val="0"/>
          <w:noProof/>
          <w:sz w:val="22"/>
          <w:lang w:val="en-DE" w:eastAsia="en-DE"/>
        </w:rPr>
      </w:pPr>
      <w:hyperlink w:anchor="_Toc118727558" w:history="1">
        <w:r w:rsidRPr="0028086E">
          <w:rPr>
            <w:rStyle w:val="Hyperlink"/>
            <w:noProof/>
          </w:rPr>
          <w:t>Proposal 7</w:t>
        </w:r>
        <w:r>
          <w:rPr>
            <w:rFonts w:asciiTheme="minorHAnsi" w:eastAsiaTheme="minorEastAsia" w:hAnsiTheme="minorHAnsi"/>
            <w:b w:val="0"/>
            <w:noProof/>
            <w:sz w:val="22"/>
            <w:lang w:val="en-DE" w:eastAsia="en-DE"/>
          </w:rPr>
          <w:tab/>
        </w:r>
        <w:r w:rsidRPr="0028086E">
          <w:rPr>
            <w:rStyle w:val="Hyperlink"/>
            <w:noProof/>
          </w:rPr>
          <w:t>RAN1 assumes that the NR resource pool configuration ensures that every LTE sub-overlaps in frequency with PSFCH resources.</w:t>
        </w:r>
      </w:hyperlink>
    </w:p>
    <w:p w14:paraId="065FFCF7" w14:textId="5BDBE6EC" w:rsidR="008E22E9" w:rsidRDefault="008E22E9">
      <w:pPr>
        <w:pStyle w:val="TableofFigures"/>
        <w:tabs>
          <w:tab w:val="right" w:leader="dot" w:pos="9629"/>
        </w:tabs>
        <w:rPr>
          <w:rFonts w:asciiTheme="minorHAnsi" w:eastAsiaTheme="minorEastAsia" w:hAnsiTheme="minorHAnsi"/>
          <w:b w:val="0"/>
          <w:noProof/>
          <w:sz w:val="22"/>
          <w:lang w:val="en-DE" w:eastAsia="en-DE"/>
        </w:rPr>
      </w:pPr>
      <w:hyperlink w:anchor="_Toc118727559" w:history="1">
        <w:r w:rsidRPr="0028086E">
          <w:rPr>
            <w:rStyle w:val="Hyperlink"/>
            <w:noProof/>
          </w:rPr>
          <w:t>Proposal 8</w:t>
        </w:r>
        <w:r>
          <w:rPr>
            <w:rFonts w:asciiTheme="minorHAnsi" w:eastAsiaTheme="minorEastAsia" w:hAnsiTheme="minorHAnsi"/>
            <w:b w:val="0"/>
            <w:noProof/>
            <w:sz w:val="22"/>
            <w:lang w:val="en-DE" w:eastAsia="en-DE"/>
          </w:rPr>
          <w:tab/>
        </w:r>
        <w:r w:rsidRPr="0028086E">
          <w:rPr>
            <w:rStyle w:val="Hyperlink"/>
            <w:noProof/>
          </w:rPr>
          <w:t>The mismatch between logical and physical slots is avoided by using an appropriate (pre-)configuration for NR SL (resource pool, SLSS, etc.).</w:t>
        </w:r>
      </w:hyperlink>
    </w:p>
    <w:p w14:paraId="2B784FCC" w14:textId="3A347CD0" w:rsidR="008E22E9" w:rsidRDefault="008E22E9">
      <w:pPr>
        <w:pStyle w:val="TableofFigures"/>
        <w:tabs>
          <w:tab w:val="right" w:leader="dot" w:pos="9629"/>
        </w:tabs>
        <w:rPr>
          <w:rFonts w:asciiTheme="minorHAnsi" w:eastAsiaTheme="minorEastAsia" w:hAnsiTheme="minorHAnsi"/>
          <w:b w:val="0"/>
          <w:noProof/>
          <w:sz w:val="22"/>
          <w:lang w:val="en-DE" w:eastAsia="en-DE"/>
        </w:rPr>
      </w:pPr>
      <w:hyperlink w:anchor="_Toc118727560" w:history="1">
        <w:r w:rsidRPr="0028086E">
          <w:rPr>
            <w:rStyle w:val="Hyperlink"/>
            <w:noProof/>
          </w:rPr>
          <w:t>Proposal 9</w:t>
        </w:r>
        <w:r>
          <w:rPr>
            <w:rFonts w:asciiTheme="minorHAnsi" w:eastAsiaTheme="minorEastAsia" w:hAnsiTheme="minorHAnsi"/>
            <w:b w:val="0"/>
            <w:noProof/>
            <w:sz w:val="22"/>
            <w:lang w:val="en-DE" w:eastAsia="en-DE"/>
          </w:rPr>
          <w:tab/>
        </w:r>
        <w:r w:rsidRPr="0028086E">
          <w:rPr>
            <w:rStyle w:val="Hyperlink"/>
            <w:noProof/>
          </w:rPr>
          <w:t>In each PSFCH occasion, PSCCH/PSSCH RX UE transmits PSFCH only if there exists an alignment between logical and physical slots with respect to PSFCH slot.</w:t>
        </w:r>
      </w:hyperlink>
    </w:p>
    <w:p w14:paraId="419A0433" w14:textId="76189670" w:rsidR="008E22E9" w:rsidRDefault="008E22E9">
      <w:pPr>
        <w:pStyle w:val="TableofFigures"/>
        <w:tabs>
          <w:tab w:val="right" w:leader="dot" w:pos="9629"/>
        </w:tabs>
        <w:rPr>
          <w:rFonts w:asciiTheme="minorHAnsi" w:eastAsiaTheme="minorEastAsia" w:hAnsiTheme="minorHAnsi"/>
          <w:b w:val="0"/>
          <w:noProof/>
          <w:sz w:val="22"/>
          <w:lang w:val="en-DE" w:eastAsia="en-DE"/>
        </w:rPr>
      </w:pPr>
      <w:hyperlink w:anchor="_Toc118727561" w:history="1">
        <w:r w:rsidRPr="0028086E">
          <w:rPr>
            <w:rStyle w:val="Hyperlink"/>
            <w:noProof/>
            <w:lang w:val="en-GB"/>
          </w:rPr>
          <w:t>Proposal 10</w:t>
        </w:r>
        <w:r>
          <w:rPr>
            <w:rFonts w:asciiTheme="minorHAnsi" w:eastAsiaTheme="minorEastAsia" w:hAnsiTheme="minorHAnsi"/>
            <w:b w:val="0"/>
            <w:noProof/>
            <w:sz w:val="22"/>
            <w:lang w:val="en-DE" w:eastAsia="en-DE"/>
          </w:rPr>
          <w:tab/>
        </w:r>
        <w:r w:rsidRPr="0028086E">
          <w:rPr>
            <w:rStyle w:val="Hyperlink"/>
            <w:noProof/>
          </w:rPr>
          <w:t xml:space="preserve">RAN1 shall consider Alt </w:t>
        </w:r>
        <w:r w:rsidRPr="0028086E">
          <w:rPr>
            <w:rStyle w:val="Hyperlink"/>
            <w:noProof/>
            <w:lang w:val="en-GB"/>
          </w:rPr>
          <w:t xml:space="preserve">1: LTE SL module provides the NR SL module with the candidate information (excluding at least the candidate resource sets </w:t>
        </w:r>
        <w:r w:rsidRPr="0028086E">
          <w:rPr>
            <w:rStyle w:val="Hyperlink"/>
            <w:rFonts w:eastAsia="Calibri"/>
            <w:noProof/>
            <w:lang w:val="en-GB"/>
          </w:rPr>
          <w:t>S</w:t>
        </w:r>
        <w:r w:rsidRPr="0028086E">
          <w:rPr>
            <w:rStyle w:val="Hyperlink"/>
            <w:rFonts w:eastAsia="Calibri"/>
            <w:noProof/>
            <w:vertAlign w:val="subscript"/>
            <w:lang w:val="en-GB"/>
          </w:rPr>
          <w:t>A</w:t>
        </w:r>
        <w:r w:rsidRPr="0028086E">
          <w:rPr>
            <w:rStyle w:val="Hyperlink"/>
            <w:rFonts w:eastAsia="Calibri"/>
            <w:noProof/>
            <w:lang w:val="en-GB"/>
          </w:rPr>
          <w:t xml:space="preserve"> or S</w:t>
        </w:r>
        <w:r w:rsidRPr="0028086E">
          <w:rPr>
            <w:rStyle w:val="Hyperlink"/>
            <w:rFonts w:eastAsia="Calibri"/>
            <w:noProof/>
            <w:vertAlign w:val="subscript"/>
            <w:lang w:val="en-GB"/>
          </w:rPr>
          <w:t>B</w:t>
        </w:r>
        <w:r w:rsidRPr="0028086E">
          <w:rPr>
            <w:rStyle w:val="Hyperlink"/>
            <w:rFonts w:eastAsia="Calibri"/>
            <w:noProof/>
            <w:lang w:val="en-GB"/>
          </w:rPr>
          <w:t>)</w:t>
        </w:r>
        <w:r w:rsidRPr="0028086E">
          <w:rPr>
            <w:rStyle w:val="Hyperlink"/>
            <w:noProof/>
            <w:lang w:val="en-GB"/>
          </w:rPr>
          <w:t>, which is then used by NR module while deriving its candidate resource set.</w:t>
        </w:r>
      </w:hyperlink>
    </w:p>
    <w:p w14:paraId="4C9FF01E" w14:textId="27E24B6D" w:rsidR="008E22E9" w:rsidRDefault="008E22E9">
      <w:pPr>
        <w:pStyle w:val="TableofFigures"/>
        <w:tabs>
          <w:tab w:val="right" w:leader="dot" w:pos="9629"/>
        </w:tabs>
        <w:rPr>
          <w:rFonts w:asciiTheme="minorHAnsi" w:eastAsiaTheme="minorEastAsia" w:hAnsiTheme="minorHAnsi"/>
          <w:b w:val="0"/>
          <w:noProof/>
          <w:sz w:val="22"/>
          <w:lang w:val="en-DE" w:eastAsia="en-DE"/>
        </w:rPr>
      </w:pPr>
      <w:hyperlink w:anchor="_Toc118727562" w:history="1">
        <w:r w:rsidRPr="0028086E">
          <w:rPr>
            <w:rStyle w:val="Hyperlink"/>
            <w:noProof/>
          </w:rPr>
          <w:t>Proposal 11</w:t>
        </w:r>
        <w:r>
          <w:rPr>
            <w:rFonts w:asciiTheme="minorHAnsi" w:eastAsiaTheme="minorEastAsia" w:hAnsiTheme="minorHAnsi"/>
            <w:b w:val="0"/>
            <w:noProof/>
            <w:sz w:val="22"/>
            <w:lang w:val="en-DE" w:eastAsia="en-DE"/>
          </w:rPr>
          <w:tab/>
        </w:r>
        <w:r w:rsidRPr="0028086E">
          <w:rPr>
            <w:rStyle w:val="Hyperlink"/>
            <w:noProof/>
          </w:rPr>
          <w:t>For dynamic resource pool sharing, PHY layer in NR SL module carries out the resource determination for its own transmission.</w:t>
        </w:r>
      </w:hyperlink>
    </w:p>
    <w:p w14:paraId="2ECB95B4" w14:textId="1D9B9472" w:rsidR="008E22E9" w:rsidRDefault="008E22E9">
      <w:pPr>
        <w:pStyle w:val="TableofFigures"/>
        <w:tabs>
          <w:tab w:val="right" w:leader="dot" w:pos="9629"/>
        </w:tabs>
        <w:rPr>
          <w:rFonts w:asciiTheme="minorHAnsi" w:eastAsiaTheme="minorEastAsia" w:hAnsiTheme="minorHAnsi"/>
          <w:b w:val="0"/>
          <w:noProof/>
          <w:sz w:val="22"/>
          <w:lang w:val="en-DE" w:eastAsia="en-DE"/>
        </w:rPr>
      </w:pPr>
      <w:hyperlink w:anchor="_Toc118727563" w:history="1">
        <w:r w:rsidRPr="0028086E">
          <w:rPr>
            <w:rStyle w:val="Hyperlink"/>
            <w:rFonts w:cs="Arial"/>
            <w:noProof/>
            <w:lang w:val="en-GB" w:eastAsia="ja-JP"/>
          </w:rPr>
          <w:t>Proposal 12</w:t>
        </w:r>
        <w:r>
          <w:rPr>
            <w:rFonts w:asciiTheme="minorHAnsi" w:eastAsiaTheme="minorEastAsia" w:hAnsiTheme="minorHAnsi"/>
            <w:b w:val="0"/>
            <w:noProof/>
            <w:sz w:val="22"/>
            <w:lang w:val="en-DE" w:eastAsia="en-DE"/>
          </w:rPr>
          <w:tab/>
        </w:r>
        <w:r w:rsidRPr="0028086E">
          <w:rPr>
            <w:rStyle w:val="Hyperlink"/>
            <w:rFonts w:cs="Arial"/>
            <w:noProof/>
            <w:lang w:val="en-GB" w:eastAsia="ja-JP"/>
          </w:rPr>
          <w:t>For dynamic resource pool sharing, LTE SL module shares the candidate information with NR SL module, which includes the following parameters:</w:t>
        </w:r>
      </w:hyperlink>
    </w:p>
    <w:p w14:paraId="533AD5F5" w14:textId="67DF7B37" w:rsidR="008E22E9" w:rsidRDefault="008E22E9">
      <w:pPr>
        <w:pStyle w:val="TableofFigures"/>
        <w:tabs>
          <w:tab w:val="right" w:leader="dot" w:pos="9629"/>
        </w:tabs>
        <w:rPr>
          <w:rFonts w:asciiTheme="minorHAnsi" w:eastAsiaTheme="minorEastAsia" w:hAnsiTheme="minorHAnsi"/>
          <w:b w:val="0"/>
          <w:noProof/>
          <w:sz w:val="22"/>
          <w:lang w:val="en-DE" w:eastAsia="en-DE"/>
        </w:rPr>
      </w:pPr>
      <w:hyperlink w:anchor="_Toc118727564" w:history="1">
        <w:r w:rsidRPr="0028086E">
          <w:rPr>
            <w:rStyle w:val="Hyperlink"/>
            <w:rFonts w:ascii="Symbol" w:hAnsi="Symbol"/>
            <w:noProof/>
            <w:lang w:val="en-GB"/>
          </w:rPr>
          <w:t></w:t>
        </w:r>
        <w:r>
          <w:rPr>
            <w:rFonts w:asciiTheme="minorHAnsi" w:eastAsiaTheme="minorEastAsia" w:hAnsiTheme="minorHAnsi"/>
            <w:b w:val="0"/>
            <w:noProof/>
            <w:sz w:val="22"/>
            <w:lang w:val="en-DE" w:eastAsia="en-DE"/>
          </w:rPr>
          <w:tab/>
        </w:r>
        <w:r w:rsidRPr="0028086E">
          <w:rPr>
            <w:rStyle w:val="Hyperlink"/>
            <w:noProof/>
            <w:lang w:val="en-GB"/>
          </w:rPr>
          <w:t>Time and frequency locations of reserved resources by other LTE UEs, determined based on decoded SCIs</w:t>
        </w:r>
      </w:hyperlink>
    </w:p>
    <w:p w14:paraId="132F015B" w14:textId="65F067AA" w:rsidR="008E22E9" w:rsidRDefault="008E22E9">
      <w:pPr>
        <w:pStyle w:val="TableofFigures"/>
        <w:tabs>
          <w:tab w:val="right" w:leader="dot" w:pos="9629"/>
        </w:tabs>
        <w:rPr>
          <w:rFonts w:asciiTheme="minorHAnsi" w:eastAsiaTheme="minorEastAsia" w:hAnsiTheme="minorHAnsi"/>
          <w:b w:val="0"/>
          <w:noProof/>
          <w:sz w:val="22"/>
          <w:lang w:val="en-DE" w:eastAsia="en-DE"/>
        </w:rPr>
      </w:pPr>
      <w:hyperlink w:anchor="_Toc118727565" w:history="1">
        <w:r w:rsidRPr="0028086E">
          <w:rPr>
            <w:rStyle w:val="Hyperlink"/>
            <w:rFonts w:ascii="Symbol" w:hAnsi="Symbol"/>
            <w:noProof/>
            <w:lang w:val="en-GB"/>
          </w:rPr>
          <w:t></w:t>
        </w:r>
        <w:r>
          <w:rPr>
            <w:rFonts w:asciiTheme="minorHAnsi" w:eastAsiaTheme="minorEastAsia" w:hAnsiTheme="minorHAnsi"/>
            <w:b w:val="0"/>
            <w:noProof/>
            <w:sz w:val="22"/>
            <w:lang w:val="en-DE" w:eastAsia="en-DE"/>
          </w:rPr>
          <w:tab/>
        </w:r>
        <w:r w:rsidRPr="0028086E">
          <w:rPr>
            <w:rStyle w:val="Hyperlink"/>
            <w:noProof/>
            <w:lang w:val="en-GB"/>
          </w:rPr>
          <w:t>Resource reservation periods based on decoded SCI and for own LTE SL transmissions</w:t>
        </w:r>
      </w:hyperlink>
    </w:p>
    <w:p w14:paraId="0D53C260" w14:textId="09C8A741" w:rsidR="008E22E9" w:rsidRDefault="008E22E9">
      <w:pPr>
        <w:pStyle w:val="TableofFigures"/>
        <w:tabs>
          <w:tab w:val="right" w:leader="dot" w:pos="9629"/>
        </w:tabs>
        <w:rPr>
          <w:rFonts w:asciiTheme="minorHAnsi" w:eastAsiaTheme="minorEastAsia" w:hAnsiTheme="minorHAnsi"/>
          <w:b w:val="0"/>
          <w:noProof/>
          <w:sz w:val="22"/>
          <w:lang w:val="en-DE" w:eastAsia="en-DE"/>
        </w:rPr>
      </w:pPr>
      <w:hyperlink w:anchor="_Toc118727566" w:history="1">
        <w:r w:rsidRPr="0028086E">
          <w:rPr>
            <w:rStyle w:val="Hyperlink"/>
            <w:rFonts w:ascii="Symbol" w:hAnsi="Symbol"/>
            <w:noProof/>
            <w:lang w:val="en-GB"/>
          </w:rPr>
          <w:t></w:t>
        </w:r>
        <w:r>
          <w:rPr>
            <w:rFonts w:asciiTheme="minorHAnsi" w:eastAsiaTheme="minorEastAsia" w:hAnsiTheme="minorHAnsi"/>
            <w:b w:val="0"/>
            <w:noProof/>
            <w:sz w:val="22"/>
            <w:lang w:val="en-DE" w:eastAsia="en-DE"/>
          </w:rPr>
          <w:tab/>
        </w:r>
        <w:r w:rsidRPr="0028086E">
          <w:rPr>
            <w:rStyle w:val="Hyperlink"/>
            <w:noProof/>
            <w:lang w:val="en-GB"/>
          </w:rPr>
          <w:t>Priority based on decoded SCI and for own LTE SL transmissions</w:t>
        </w:r>
      </w:hyperlink>
    </w:p>
    <w:p w14:paraId="615486D5" w14:textId="32352BA2" w:rsidR="008E22E9" w:rsidRDefault="008E22E9">
      <w:pPr>
        <w:pStyle w:val="TableofFigures"/>
        <w:tabs>
          <w:tab w:val="right" w:leader="dot" w:pos="9629"/>
        </w:tabs>
        <w:rPr>
          <w:rFonts w:asciiTheme="minorHAnsi" w:eastAsiaTheme="minorEastAsia" w:hAnsiTheme="minorHAnsi"/>
          <w:b w:val="0"/>
          <w:noProof/>
          <w:sz w:val="22"/>
          <w:lang w:val="en-DE" w:eastAsia="en-DE"/>
        </w:rPr>
      </w:pPr>
      <w:hyperlink w:anchor="_Toc118727567" w:history="1">
        <w:r w:rsidRPr="0028086E">
          <w:rPr>
            <w:rStyle w:val="Hyperlink"/>
            <w:rFonts w:ascii="Symbol" w:hAnsi="Symbol"/>
            <w:noProof/>
            <w:lang w:val="en-GB"/>
          </w:rPr>
          <w:t></w:t>
        </w:r>
        <w:r>
          <w:rPr>
            <w:rFonts w:asciiTheme="minorHAnsi" w:eastAsiaTheme="minorEastAsia" w:hAnsiTheme="minorHAnsi"/>
            <w:b w:val="0"/>
            <w:noProof/>
            <w:sz w:val="22"/>
            <w:lang w:val="en-DE" w:eastAsia="en-DE"/>
          </w:rPr>
          <w:tab/>
        </w:r>
        <w:r w:rsidRPr="0028086E">
          <w:rPr>
            <w:rStyle w:val="Hyperlink"/>
            <w:noProof/>
            <w:lang w:val="en-GB"/>
          </w:rPr>
          <w:t>Time and frequency location of resources used for own LTE SL transmissions</w:t>
        </w:r>
      </w:hyperlink>
    </w:p>
    <w:p w14:paraId="02C58ECC" w14:textId="381066F2" w:rsidR="008E22E9" w:rsidRDefault="008E22E9">
      <w:pPr>
        <w:pStyle w:val="TableofFigures"/>
        <w:tabs>
          <w:tab w:val="right" w:leader="dot" w:pos="9629"/>
        </w:tabs>
        <w:rPr>
          <w:rFonts w:asciiTheme="minorHAnsi" w:eastAsiaTheme="minorEastAsia" w:hAnsiTheme="minorHAnsi"/>
          <w:b w:val="0"/>
          <w:noProof/>
          <w:sz w:val="22"/>
          <w:lang w:val="en-DE" w:eastAsia="en-DE"/>
        </w:rPr>
      </w:pPr>
      <w:hyperlink w:anchor="_Toc118727568" w:history="1">
        <w:r w:rsidRPr="0028086E">
          <w:rPr>
            <w:rStyle w:val="Hyperlink"/>
            <w:rFonts w:ascii="Symbol" w:hAnsi="Symbol"/>
            <w:noProof/>
            <w:lang w:val="en-GB"/>
          </w:rPr>
          <w:t></w:t>
        </w:r>
        <w:r>
          <w:rPr>
            <w:rFonts w:asciiTheme="minorHAnsi" w:eastAsiaTheme="minorEastAsia" w:hAnsiTheme="minorHAnsi"/>
            <w:b w:val="0"/>
            <w:noProof/>
            <w:sz w:val="22"/>
            <w:lang w:val="en-DE" w:eastAsia="en-DE"/>
          </w:rPr>
          <w:tab/>
        </w:r>
        <w:r w:rsidRPr="0028086E">
          <w:rPr>
            <w:rStyle w:val="Hyperlink"/>
            <w:noProof/>
            <w:lang w:val="en-GB"/>
          </w:rPr>
          <w:t>SLRSSI/RSRP measurements</w:t>
        </w:r>
      </w:hyperlink>
    </w:p>
    <w:p w14:paraId="7003CD6C" w14:textId="7DAEBD1D" w:rsidR="008E22E9" w:rsidRDefault="008E22E9">
      <w:pPr>
        <w:pStyle w:val="TableofFigures"/>
        <w:tabs>
          <w:tab w:val="right" w:leader="dot" w:pos="9629"/>
        </w:tabs>
        <w:rPr>
          <w:rFonts w:asciiTheme="minorHAnsi" w:eastAsiaTheme="minorEastAsia" w:hAnsiTheme="minorHAnsi"/>
          <w:b w:val="0"/>
          <w:noProof/>
          <w:sz w:val="22"/>
          <w:lang w:val="en-DE" w:eastAsia="en-DE"/>
        </w:rPr>
      </w:pPr>
      <w:hyperlink w:anchor="_Toc118727569" w:history="1">
        <w:r w:rsidRPr="0028086E">
          <w:rPr>
            <w:rStyle w:val="Hyperlink"/>
            <w:rFonts w:ascii="Symbol" w:hAnsi="Symbol"/>
            <w:noProof/>
            <w:lang w:val="en-GB"/>
          </w:rPr>
          <w:t></w:t>
        </w:r>
        <w:r>
          <w:rPr>
            <w:rFonts w:asciiTheme="minorHAnsi" w:eastAsiaTheme="minorEastAsia" w:hAnsiTheme="minorHAnsi"/>
            <w:b w:val="0"/>
            <w:noProof/>
            <w:sz w:val="22"/>
            <w:lang w:val="en-DE" w:eastAsia="en-DE"/>
          </w:rPr>
          <w:tab/>
        </w:r>
        <w:r w:rsidRPr="0028086E">
          <w:rPr>
            <w:rStyle w:val="Hyperlink"/>
            <w:noProof/>
            <w:lang w:val="en-GB"/>
          </w:rPr>
          <w:t>Resources corresponding to half-duplex subframes which are not monitored by the LTE SL UE.</w:t>
        </w:r>
      </w:hyperlink>
    </w:p>
    <w:p w14:paraId="5CEC939C" w14:textId="355B8BC1" w:rsidR="008E22E9" w:rsidRDefault="008E22E9">
      <w:pPr>
        <w:pStyle w:val="TableofFigures"/>
        <w:tabs>
          <w:tab w:val="right" w:leader="dot" w:pos="9629"/>
        </w:tabs>
        <w:rPr>
          <w:rFonts w:asciiTheme="minorHAnsi" w:eastAsiaTheme="minorEastAsia" w:hAnsiTheme="minorHAnsi"/>
          <w:b w:val="0"/>
          <w:noProof/>
          <w:sz w:val="22"/>
          <w:lang w:val="en-DE" w:eastAsia="en-DE"/>
        </w:rPr>
      </w:pPr>
      <w:hyperlink w:anchor="_Toc118727570" w:history="1">
        <w:r w:rsidRPr="0028086E">
          <w:rPr>
            <w:rStyle w:val="Hyperlink"/>
            <w:rFonts w:cs="Arial"/>
            <w:noProof/>
            <w:lang w:val="en-GB" w:eastAsia="ja-JP"/>
          </w:rPr>
          <w:t>Proposal 13</w:t>
        </w:r>
        <w:r>
          <w:rPr>
            <w:rFonts w:asciiTheme="minorHAnsi" w:eastAsiaTheme="minorEastAsia" w:hAnsiTheme="minorHAnsi"/>
            <w:b w:val="0"/>
            <w:noProof/>
            <w:sz w:val="22"/>
            <w:lang w:val="en-DE" w:eastAsia="en-DE"/>
          </w:rPr>
          <w:tab/>
        </w:r>
        <w:r w:rsidRPr="0028086E">
          <w:rPr>
            <w:rStyle w:val="Hyperlink"/>
            <w:rFonts w:cs="Arial"/>
            <w:noProof/>
            <w:lang w:val="en-GB" w:eastAsia="ja-JP"/>
          </w:rPr>
          <w:t>For dynamic resource pool sharing, the NR SL module is expected to use the information shared by the LTE SL module to the NR SL module which is known by NR SL module at the latest T ms prior to slot n (as defined in clause 8.1.4 of TS 38.214), to determine a set of resources for its own (re)transmission.</w:t>
        </w:r>
      </w:hyperlink>
    </w:p>
    <w:p w14:paraId="7AE79D50" w14:textId="5ABF45F6" w:rsidR="008E22E9" w:rsidRDefault="008E22E9">
      <w:pPr>
        <w:pStyle w:val="TableofFigures"/>
        <w:tabs>
          <w:tab w:val="right" w:leader="dot" w:pos="9629"/>
        </w:tabs>
        <w:rPr>
          <w:rFonts w:asciiTheme="minorHAnsi" w:eastAsiaTheme="minorEastAsia" w:hAnsiTheme="minorHAnsi"/>
          <w:b w:val="0"/>
          <w:noProof/>
          <w:sz w:val="22"/>
          <w:lang w:val="en-DE" w:eastAsia="en-DE"/>
        </w:rPr>
      </w:pPr>
      <w:hyperlink w:anchor="_Toc118727571" w:history="1">
        <w:r w:rsidRPr="0028086E">
          <w:rPr>
            <w:rStyle w:val="Hyperlink"/>
            <w:rFonts w:ascii="Symbol" w:hAnsi="Symbol"/>
            <w:noProof/>
            <w:lang w:val="en-GB"/>
          </w:rPr>
          <w:t></w:t>
        </w:r>
        <w:r>
          <w:rPr>
            <w:rFonts w:asciiTheme="minorHAnsi" w:eastAsiaTheme="minorEastAsia" w:hAnsiTheme="minorHAnsi"/>
            <w:b w:val="0"/>
            <w:noProof/>
            <w:sz w:val="22"/>
            <w:lang w:val="en-DE" w:eastAsia="en-DE"/>
          </w:rPr>
          <w:tab/>
        </w:r>
        <w:r w:rsidRPr="0028086E">
          <w:rPr>
            <w:rStyle w:val="Hyperlink"/>
            <w:noProof/>
            <w:lang w:val="en-GB"/>
          </w:rPr>
          <w:t>T is defined using</w:t>
        </w:r>
      </w:hyperlink>
    </w:p>
    <w:p w14:paraId="228AF782" w14:textId="4E584BD5" w:rsidR="008E22E9" w:rsidRDefault="008E22E9">
      <w:pPr>
        <w:pStyle w:val="TableofFigures"/>
        <w:tabs>
          <w:tab w:val="right" w:leader="dot" w:pos="9629"/>
        </w:tabs>
        <w:rPr>
          <w:rFonts w:asciiTheme="minorHAnsi" w:eastAsiaTheme="minorEastAsia" w:hAnsiTheme="minorHAnsi"/>
          <w:b w:val="0"/>
          <w:noProof/>
          <w:sz w:val="22"/>
          <w:lang w:val="en-DE" w:eastAsia="en-DE"/>
        </w:rPr>
      </w:pPr>
      <w:hyperlink w:anchor="_Toc118727572" w:history="1">
        <w:r w:rsidRPr="0028086E">
          <w:rPr>
            <w:rStyle w:val="Hyperlink"/>
            <w:rFonts w:ascii="Courier New" w:hAnsi="Courier New" w:cs="Courier New"/>
            <w:noProof/>
            <w:lang w:val="en-GB"/>
          </w:rPr>
          <w:t>o</w:t>
        </w:r>
        <w:r>
          <w:rPr>
            <w:rFonts w:asciiTheme="minorHAnsi" w:eastAsiaTheme="minorEastAsia" w:hAnsiTheme="minorHAnsi"/>
            <w:b w:val="0"/>
            <w:noProof/>
            <w:sz w:val="22"/>
            <w:lang w:val="en-DE" w:eastAsia="en-DE"/>
          </w:rPr>
          <w:tab/>
        </w:r>
        <w:r w:rsidRPr="0028086E">
          <w:rPr>
            <w:rStyle w:val="Hyperlink"/>
            <w:rFonts w:ascii="Times New Roman" w:hAnsi="Times New Roman" w:cs="Times New Roman"/>
            <w:noProof/>
            <w:lang w:val="en-GB"/>
          </w:rPr>
          <w:t>T≤T</w:t>
        </w:r>
        <w:r w:rsidRPr="0028086E">
          <w:rPr>
            <w:rStyle w:val="Hyperlink"/>
            <w:rFonts w:ascii="Times New Roman" w:hAnsi="Times New Roman" w:cs="Times New Roman"/>
            <w:noProof/>
            <w:vertAlign w:val="subscript"/>
            <w:lang w:val="en-GB"/>
          </w:rPr>
          <w:t>max</w:t>
        </w:r>
        <w:r w:rsidRPr="0028086E">
          <w:rPr>
            <w:rStyle w:val="Hyperlink"/>
            <w:rFonts w:ascii="Times New Roman" w:hAnsi="Times New Roman" w:cs="Times New Roman"/>
            <w:noProof/>
            <w:lang w:val="en-GB"/>
          </w:rPr>
          <w:t xml:space="preserve"> = 4 </w:t>
        </w:r>
        <w:r w:rsidRPr="0028086E">
          <w:rPr>
            <w:rStyle w:val="Hyperlink"/>
            <w:rFonts w:cs="Arial"/>
            <w:noProof/>
            <w:lang w:val="en-GB"/>
          </w:rPr>
          <w:t>ms, and is based on UE implementation, according to the Rel-16 NR SL timeline for in-device coexistence.</w:t>
        </w:r>
      </w:hyperlink>
    </w:p>
    <w:p w14:paraId="4845EA00" w14:textId="45CD3B16" w:rsidR="008E22E9" w:rsidRDefault="008E22E9">
      <w:pPr>
        <w:pStyle w:val="TableofFigures"/>
        <w:tabs>
          <w:tab w:val="right" w:leader="dot" w:pos="9629"/>
        </w:tabs>
        <w:rPr>
          <w:rFonts w:asciiTheme="minorHAnsi" w:eastAsiaTheme="minorEastAsia" w:hAnsiTheme="minorHAnsi"/>
          <w:b w:val="0"/>
          <w:noProof/>
          <w:sz w:val="22"/>
          <w:lang w:val="en-DE" w:eastAsia="en-DE"/>
        </w:rPr>
      </w:pPr>
      <w:hyperlink w:anchor="_Toc118727573" w:history="1">
        <w:r w:rsidRPr="0028086E">
          <w:rPr>
            <w:rStyle w:val="Hyperlink"/>
            <w:noProof/>
            <w:lang w:val="en-GB"/>
          </w:rPr>
          <w:t>Proposal 14</w:t>
        </w:r>
        <w:r>
          <w:rPr>
            <w:rFonts w:asciiTheme="minorHAnsi" w:eastAsiaTheme="minorEastAsia" w:hAnsiTheme="minorHAnsi"/>
            <w:b w:val="0"/>
            <w:noProof/>
            <w:sz w:val="22"/>
            <w:lang w:val="en-DE" w:eastAsia="en-DE"/>
          </w:rPr>
          <w:tab/>
        </w:r>
        <w:r w:rsidRPr="0028086E">
          <w:rPr>
            <w:rStyle w:val="Hyperlink"/>
            <w:noProof/>
          </w:rPr>
          <w:t>RAN1</w:t>
        </w:r>
        <w:r w:rsidRPr="0028086E">
          <w:rPr>
            <w:rStyle w:val="Hyperlink"/>
            <w:noProof/>
            <w:lang w:val="en-GB"/>
          </w:rPr>
          <w:t xml:space="preserve"> to study:</w:t>
        </w:r>
      </w:hyperlink>
    </w:p>
    <w:p w14:paraId="3D2EEF8C" w14:textId="2E31B5EE" w:rsidR="008E22E9" w:rsidRDefault="008E22E9">
      <w:pPr>
        <w:pStyle w:val="TableofFigures"/>
        <w:tabs>
          <w:tab w:val="right" w:leader="dot" w:pos="9629"/>
        </w:tabs>
        <w:rPr>
          <w:rFonts w:asciiTheme="minorHAnsi" w:eastAsiaTheme="minorEastAsia" w:hAnsiTheme="minorHAnsi"/>
          <w:b w:val="0"/>
          <w:noProof/>
          <w:sz w:val="22"/>
          <w:lang w:val="en-DE" w:eastAsia="en-DE"/>
        </w:rPr>
      </w:pPr>
      <w:hyperlink w:anchor="_Toc118727574" w:history="1">
        <w:r w:rsidRPr="0028086E">
          <w:rPr>
            <w:rStyle w:val="Hyperlink"/>
            <w:rFonts w:ascii="Symbol" w:hAnsi="Symbol"/>
            <w:noProof/>
            <w:lang w:val="en-GB"/>
          </w:rPr>
          <w:t></w:t>
        </w:r>
        <w:r>
          <w:rPr>
            <w:rFonts w:asciiTheme="minorHAnsi" w:eastAsiaTheme="minorEastAsia" w:hAnsiTheme="minorHAnsi"/>
            <w:b w:val="0"/>
            <w:noProof/>
            <w:sz w:val="22"/>
            <w:lang w:val="en-DE" w:eastAsia="en-DE"/>
          </w:rPr>
          <w:tab/>
        </w:r>
        <w:r w:rsidRPr="0028086E">
          <w:rPr>
            <w:rStyle w:val="Hyperlink"/>
            <w:noProof/>
            <w:lang w:val="en-GB"/>
          </w:rPr>
          <w:t>Indirect detection and explicit signalling for detecting LTE SL transmissions without implementing LTE SL features.</w:t>
        </w:r>
      </w:hyperlink>
    </w:p>
    <w:p w14:paraId="4CA896C4" w14:textId="30887D33" w:rsidR="008E22E9" w:rsidRDefault="008E22E9">
      <w:pPr>
        <w:pStyle w:val="TableofFigures"/>
        <w:tabs>
          <w:tab w:val="right" w:leader="dot" w:pos="9629"/>
        </w:tabs>
        <w:rPr>
          <w:rFonts w:asciiTheme="minorHAnsi" w:eastAsiaTheme="minorEastAsia" w:hAnsiTheme="minorHAnsi"/>
          <w:b w:val="0"/>
          <w:noProof/>
          <w:sz w:val="22"/>
          <w:lang w:val="en-DE" w:eastAsia="en-DE"/>
        </w:rPr>
      </w:pPr>
      <w:hyperlink w:anchor="_Toc118727575" w:history="1">
        <w:r w:rsidRPr="0028086E">
          <w:rPr>
            <w:rStyle w:val="Hyperlink"/>
            <w:rFonts w:ascii="Symbol" w:hAnsi="Symbol"/>
            <w:noProof/>
            <w:lang w:val="en-GB"/>
          </w:rPr>
          <w:t></w:t>
        </w:r>
        <w:r>
          <w:rPr>
            <w:rFonts w:asciiTheme="minorHAnsi" w:eastAsiaTheme="minorEastAsia" w:hAnsiTheme="minorHAnsi"/>
            <w:b w:val="0"/>
            <w:noProof/>
            <w:sz w:val="22"/>
            <w:lang w:val="en-DE" w:eastAsia="en-DE"/>
          </w:rPr>
          <w:tab/>
        </w:r>
        <w:r w:rsidRPr="0028086E">
          <w:rPr>
            <w:rStyle w:val="Hyperlink"/>
            <w:noProof/>
            <w:lang w:val="en-GB"/>
          </w:rPr>
          <w:t>The use of direct detection, as an optimization, for devices implementing NR SL and LTE SL.</w:t>
        </w:r>
      </w:hyperlink>
    </w:p>
    <w:p w14:paraId="7AACACEC" w14:textId="1D32A427" w:rsidR="008E22E9" w:rsidRDefault="008E22E9">
      <w:pPr>
        <w:pStyle w:val="TableofFigures"/>
        <w:tabs>
          <w:tab w:val="right" w:leader="dot" w:pos="9629"/>
        </w:tabs>
        <w:rPr>
          <w:rFonts w:asciiTheme="minorHAnsi" w:eastAsiaTheme="minorEastAsia" w:hAnsiTheme="minorHAnsi"/>
          <w:b w:val="0"/>
          <w:noProof/>
          <w:sz w:val="22"/>
          <w:lang w:val="en-DE" w:eastAsia="en-DE"/>
        </w:rPr>
      </w:pPr>
      <w:hyperlink w:anchor="_Toc118727576" w:history="1">
        <w:r w:rsidRPr="0028086E">
          <w:rPr>
            <w:rStyle w:val="Hyperlink"/>
            <w:noProof/>
          </w:rPr>
          <w:t>Proposal 15</w:t>
        </w:r>
        <w:r>
          <w:rPr>
            <w:rFonts w:asciiTheme="minorHAnsi" w:eastAsiaTheme="minorEastAsia" w:hAnsiTheme="minorHAnsi"/>
            <w:b w:val="0"/>
            <w:noProof/>
            <w:sz w:val="22"/>
            <w:lang w:val="en-DE" w:eastAsia="en-DE"/>
          </w:rPr>
          <w:tab/>
        </w:r>
        <w:r w:rsidRPr="0028086E">
          <w:rPr>
            <w:rStyle w:val="Hyperlink"/>
            <w:noProof/>
          </w:rPr>
          <w:t>Only 15 kHz SCS is considered for dynamic resource pool sharing based coexistence.</w:t>
        </w:r>
      </w:hyperlink>
    </w:p>
    <w:p w14:paraId="4D72E420" w14:textId="5F8E3544" w:rsidR="008E22E9" w:rsidRDefault="008E22E9">
      <w:pPr>
        <w:pStyle w:val="TableofFigures"/>
        <w:tabs>
          <w:tab w:val="right" w:leader="dot" w:pos="9629"/>
        </w:tabs>
        <w:rPr>
          <w:rFonts w:asciiTheme="minorHAnsi" w:eastAsiaTheme="minorEastAsia" w:hAnsiTheme="minorHAnsi"/>
          <w:b w:val="0"/>
          <w:noProof/>
          <w:sz w:val="22"/>
          <w:lang w:val="en-DE" w:eastAsia="en-DE"/>
        </w:rPr>
      </w:pPr>
      <w:hyperlink w:anchor="_Toc118727577" w:history="1">
        <w:r w:rsidRPr="0028086E">
          <w:rPr>
            <w:rStyle w:val="Hyperlink"/>
            <w:noProof/>
          </w:rPr>
          <w:t>Proposal 16</w:t>
        </w:r>
        <w:r>
          <w:rPr>
            <w:rFonts w:asciiTheme="minorHAnsi" w:eastAsiaTheme="minorEastAsia" w:hAnsiTheme="minorHAnsi"/>
            <w:b w:val="0"/>
            <w:noProof/>
            <w:sz w:val="22"/>
            <w:lang w:val="en-DE" w:eastAsia="en-DE"/>
          </w:rPr>
          <w:tab/>
        </w:r>
        <w:r w:rsidRPr="0028086E">
          <w:rPr>
            <w:rStyle w:val="Hyperlink"/>
            <w:noProof/>
          </w:rPr>
          <w:t>RAN1 specifies for type-A devices to follow LTE SLSS, if available, in the context of coexistence between LTE and NR sidelinks.</w:t>
        </w:r>
      </w:hyperlink>
    </w:p>
    <w:p w14:paraId="71D79D99" w14:textId="19B36F2F" w:rsidR="00F507D1" w:rsidRPr="00CE0424" w:rsidRDefault="006E1C82" w:rsidP="00116DC2">
      <w:pPr>
        <w:pStyle w:val="Heading1"/>
        <w:jc w:val="both"/>
      </w:pPr>
      <w:r>
        <w:rPr>
          <w:b/>
        </w:rPr>
        <w:lastRenderedPageBreak/>
        <w:fldChar w:fldCharType="end"/>
      </w:r>
      <w:bookmarkStart w:id="65" w:name="_In-sequence_SDU_delivery"/>
      <w:bookmarkEnd w:id="65"/>
      <w:r w:rsidR="00F507D1" w:rsidRPr="00CE0424">
        <w:t>References</w:t>
      </w:r>
    </w:p>
    <w:p w14:paraId="1E8DCE8C" w14:textId="52DD522C" w:rsidR="00223725" w:rsidRDefault="00223725" w:rsidP="00223725">
      <w:pPr>
        <w:pStyle w:val="Reference"/>
      </w:pPr>
      <w:bookmarkStart w:id="66" w:name="_Ref174151459"/>
      <w:bookmarkStart w:id="67" w:name="_Ref189809556"/>
      <w:r>
        <w:t>RP-2</w:t>
      </w:r>
      <w:r w:rsidR="00C436D3">
        <w:t>21938</w:t>
      </w:r>
      <w:r>
        <w:t xml:space="preserve">, </w:t>
      </w:r>
      <w:r w:rsidR="0010305D">
        <w:t xml:space="preserve">WID </w:t>
      </w:r>
      <w:r w:rsidR="005F4A44">
        <w:t>r</w:t>
      </w:r>
      <w:r w:rsidR="0010305D">
        <w:t>evision</w:t>
      </w:r>
      <w:r w:rsidR="005F4A44">
        <w:t>:</w:t>
      </w:r>
      <w:r>
        <w:t xml:space="preserve"> NR </w:t>
      </w:r>
      <w:proofErr w:type="spellStart"/>
      <w:r>
        <w:t>sidelink</w:t>
      </w:r>
      <w:proofErr w:type="spellEnd"/>
      <w:r>
        <w:t xml:space="preserve"> evolution, OPPO, RAN#9</w:t>
      </w:r>
      <w:r w:rsidR="005123E3">
        <w:t>7</w:t>
      </w:r>
      <w:r>
        <w:t xml:space="preserve">e, </w:t>
      </w:r>
      <w:r w:rsidR="0098458E">
        <w:t>Sep</w:t>
      </w:r>
      <w:r>
        <w:t>.</w:t>
      </w:r>
      <w:r w:rsidR="0098458E">
        <w:t>12</w:t>
      </w:r>
      <w:r>
        <w:t>-1</w:t>
      </w:r>
      <w:r w:rsidR="0098458E">
        <w:t>6</w:t>
      </w:r>
      <w:r>
        <w:t>, 202</w:t>
      </w:r>
      <w:r w:rsidR="0098458E">
        <w:t>2</w:t>
      </w:r>
      <w:r>
        <w:t xml:space="preserve">. </w:t>
      </w:r>
    </w:p>
    <w:bookmarkEnd w:id="66"/>
    <w:bookmarkEnd w:id="67"/>
    <w:p w14:paraId="0D84AC21" w14:textId="6D8771C5" w:rsidR="001124B9" w:rsidRDefault="0095112E" w:rsidP="001124B9">
      <w:pPr>
        <w:pStyle w:val="Reference"/>
        <w:rPr>
          <w:snapToGrid w:val="0"/>
        </w:rPr>
      </w:pPr>
      <w:r>
        <w:rPr>
          <w:snapToGrid w:val="0"/>
        </w:rPr>
        <w:t xml:space="preserve">R1-2210298, </w:t>
      </w:r>
      <w:r w:rsidR="001124B9">
        <w:rPr>
          <w:snapToGrid w:val="0"/>
        </w:rPr>
        <w:t xml:space="preserve">FL Summary </w:t>
      </w:r>
      <w:proofErr w:type="spellStart"/>
      <w:r w:rsidR="001124B9">
        <w:rPr>
          <w:snapToGrid w:val="0"/>
        </w:rPr>
        <w:t>EoM</w:t>
      </w:r>
      <w:proofErr w:type="spellEnd"/>
      <w:r w:rsidR="001124B9">
        <w:rPr>
          <w:snapToGrid w:val="0"/>
        </w:rPr>
        <w:t xml:space="preserve"> for AI 9.4.2 - Co-Channel Coexistence for LTE and NR </w:t>
      </w:r>
      <w:proofErr w:type="spellStart"/>
      <w:r w:rsidR="001124B9">
        <w:rPr>
          <w:snapToGrid w:val="0"/>
        </w:rPr>
        <w:t>Sidelink</w:t>
      </w:r>
      <w:proofErr w:type="spellEnd"/>
      <w:r w:rsidR="001124B9">
        <w:rPr>
          <w:snapToGrid w:val="0"/>
        </w:rPr>
        <w:t>, Moderator</w:t>
      </w:r>
      <w:r>
        <w:rPr>
          <w:snapToGrid w:val="0"/>
        </w:rPr>
        <w:t xml:space="preserve"> (Fraunhofer </w:t>
      </w:r>
      <w:r w:rsidR="00AA1FA2">
        <w:rPr>
          <w:snapToGrid w:val="0"/>
        </w:rPr>
        <w:t>HHI), Oct 10</w:t>
      </w:r>
      <w:r w:rsidR="00AA1FA2" w:rsidRPr="00E43976">
        <w:rPr>
          <w:snapToGrid w:val="0"/>
          <w:vertAlign w:val="superscript"/>
        </w:rPr>
        <w:t>th</w:t>
      </w:r>
      <w:r w:rsidR="00AA1FA2">
        <w:rPr>
          <w:snapToGrid w:val="0"/>
        </w:rPr>
        <w:t xml:space="preserve"> -19</w:t>
      </w:r>
      <w:r w:rsidR="00AA1FA2" w:rsidRPr="00E43976">
        <w:rPr>
          <w:snapToGrid w:val="0"/>
          <w:vertAlign w:val="superscript"/>
        </w:rPr>
        <w:t>th</w:t>
      </w:r>
      <w:r w:rsidR="00AA1FA2">
        <w:rPr>
          <w:snapToGrid w:val="0"/>
        </w:rPr>
        <w:t xml:space="preserve">, 2022. </w:t>
      </w:r>
    </w:p>
    <w:p w14:paraId="4175F51C" w14:textId="77777777" w:rsidR="001124B9" w:rsidRDefault="001124B9" w:rsidP="001314EE">
      <w:pPr>
        <w:pStyle w:val="Reference"/>
        <w:numPr>
          <w:ilvl w:val="0"/>
          <w:numId w:val="0"/>
        </w:numPr>
      </w:pPr>
    </w:p>
    <w:p w14:paraId="5DD724D2" w14:textId="77777777" w:rsidR="00FE2229" w:rsidRPr="00CE0424" w:rsidRDefault="00FE2229" w:rsidP="0098458E">
      <w:pPr>
        <w:pStyle w:val="Reference"/>
        <w:numPr>
          <w:ilvl w:val="0"/>
          <w:numId w:val="0"/>
        </w:numPr>
        <w:ind w:left="567"/>
      </w:pPr>
    </w:p>
    <w:p w14:paraId="715CA09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05B06" w14:textId="77777777" w:rsidR="00B1358C" w:rsidRDefault="00B1358C">
      <w:r>
        <w:separator/>
      </w:r>
    </w:p>
  </w:endnote>
  <w:endnote w:type="continuationSeparator" w:id="0">
    <w:p w14:paraId="1873C98D" w14:textId="77777777" w:rsidR="00B1358C" w:rsidRDefault="00B1358C">
      <w:r>
        <w:continuationSeparator/>
      </w:r>
    </w:p>
  </w:endnote>
  <w:endnote w:type="continuationNotice" w:id="1">
    <w:p w14:paraId="233CE26C" w14:textId="77777777" w:rsidR="00B1358C" w:rsidRDefault="00B135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FF6D9" w14:textId="77777777" w:rsidR="00B1358C" w:rsidRDefault="00B1358C">
      <w:r>
        <w:separator/>
      </w:r>
    </w:p>
  </w:footnote>
  <w:footnote w:type="continuationSeparator" w:id="0">
    <w:p w14:paraId="0E0C5A63" w14:textId="77777777" w:rsidR="00B1358C" w:rsidRDefault="00B1358C">
      <w:r>
        <w:continuationSeparator/>
      </w:r>
    </w:p>
  </w:footnote>
  <w:footnote w:type="continuationNotice" w:id="1">
    <w:p w14:paraId="58457C74" w14:textId="77777777" w:rsidR="00B1358C" w:rsidRDefault="00B1358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7242478"/>
    <w:multiLevelType w:val="hybridMultilevel"/>
    <w:tmpl w:val="78AE1D8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08460D03"/>
    <w:multiLevelType w:val="hybridMultilevel"/>
    <w:tmpl w:val="DC426ED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8F00C70"/>
    <w:multiLevelType w:val="hybridMultilevel"/>
    <w:tmpl w:val="9CBEBE4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C00A4C"/>
    <w:multiLevelType w:val="hybridMultilevel"/>
    <w:tmpl w:val="627CA1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7706428"/>
    <w:multiLevelType w:val="hybridMultilevel"/>
    <w:tmpl w:val="FD0A17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024440"/>
    <w:multiLevelType w:val="hybridMultilevel"/>
    <w:tmpl w:val="7A0237E6"/>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8" w15:restartNumberingAfterBreak="0">
    <w:nsid w:val="1ACC47C7"/>
    <w:multiLevelType w:val="hybridMultilevel"/>
    <w:tmpl w:val="A878833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1DCF40CF"/>
    <w:multiLevelType w:val="hybridMultilevel"/>
    <w:tmpl w:val="5E926F46"/>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045239F"/>
    <w:multiLevelType w:val="hybridMultilevel"/>
    <w:tmpl w:val="7E1C9166"/>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D7278E"/>
    <w:multiLevelType w:val="hybridMultilevel"/>
    <w:tmpl w:val="6AFE12E0"/>
    <w:lvl w:ilvl="0" w:tplc="10000001">
      <w:start w:val="1"/>
      <w:numFmt w:val="bullet"/>
      <w:lvlText w:val=""/>
      <w:lvlJc w:val="left"/>
      <w:pPr>
        <w:ind w:left="778" w:hanging="360"/>
      </w:pPr>
      <w:rPr>
        <w:rFonts w:ascii="Symbol" w:hAnsi="Symbol" w:hint="default"/>
      </w:rPr>
    </w:lvl>
    <w:lvl w:ilvl="1" w:tplc="10000003" w:tentative="1">
      <w:start w:val="1"/>
      <w:numFmt w:val="bullet"/>
      <w:lvlText w:val="o"/>
      <w:lvlJc w:val="left"/>
      <w:pPr>
        <w:ind w:left="1498" w:hanging="360"/>
      </w:pPr>
      <w:rPr>
        <w:rFonts w:ascii="Courier New" w:hAnsi="Courier New" w:cs="Courier New" w:hint="default"/>
      </w:rPr>
    </w:lvl>
    <w:lvl w:ilvl="2" w:tplc="10000005" w:tentative="1">
      <w:start w:val="1"/>
      <w:numFmt w:val="bullet"/>
      <w:lvlText w:val=""/>
      <w:lvlJc w:val="left"/>
      <w:pPr>
        <w:ind w:left="2218" w:hanging="360"/>
      </w:pPr>
      <w:rPr>
        <w:rFonts w:ascii="Wingdings" w:hAnsi="Wingdings" w:hint="default"/>
      </w:rPr>
    </w:lvl>
    <w:lvl w:ilvl="3" w:tplc="10000001" w:tentative="1">
      <w:start w:val="1"/>
      <w:numFmt w:val="bullet"/>
      <w:lvlText w:val=""/>
      <w:lvlJc w:val="left"/>
      <w:pPr>
        <w:ind w:left="2938" w:hanging="360"/>
      </w:pPr>
      <w:rPr>
        <w:rFonts w:ascii="Symbol" w:hAnsi="Symbol" w:hint="default"/>
      </w:rPr>
    </w:lvl>
    <w:lvl w:ilvl="4" w:tplc="10000003" w:tentative="1">
      <w:start w:val="1"/>
      <w:numFmt w:val="bullet"/>
      <w:lvlText w:val="o"/>
      <w:lvlJc w:val="left"/>
      <w:pPr>
        <w:ind w:left="3658" w:hanging="360"/>
      </w:pPr>
      <w:rPr>
        <w:rFonts w:ascii="Courier New" w:hAnsi="Courier New" w:cs="Courier New" w:hint="default"/>
      </w:rPr>
    </w:lvl>
    <w:lvl w:ilvl="5" w:tplc="10000005" w:tentative="1">
      <w:start w:val="1"/>
      <w:numFmt w:val="bullet"/>
      <w:lvlText w:val=""/>
      <w:lvlJc w:val="left"/>
      <w:pPr>
        <w:ind w:left="4378" w:hanging="360"/>
      </w:pPr>
      <w:rPr>
        <w:rFonts w:ascii="Wingdings" w:hAnsi="Wingdings" w:hint="default"/>
      </w:rPr>
    </w:lvl>
    <w:lvl w:ilvl="6" w:tplc="10000001" w:tentative="1">
      <w:start w:val="1"/>
      <w:numFmt w:val="bullet"/>
      <w:lvlText w:val=""/>
      <w:lvlJc w:val="left"/>
      <w:pPr>
        <w:ind w:left="5098" w:hanging="360"/>
      </w:pPr>
      <w:rPr>
        <w:rFonts w:ascii="Symbol" w:hAnsi="Symbol" w:hint="default"/>
      </w:rPr>
    </w:lvl>
    <w:lvl w:ilvl="7" w:tplc="10000003" w:tentative="1">
      <w:start w:val="1"/>
      <w:numFmt w:val="bullet"/>
      <w:lvlText w:val="o"/>
      <w:lvlJc w:val="left"/>
      <w:pPr>
        <w:ind w:left="5818" w:hanging="360"/>
      </w:pPr>
      <w:rPr>
        <w:rFonts w:ascii="Courier New" w:hAnsi="Courier New" w:cs="Courier New" w:hint="default"/>
      </w:rPr>
    </w:lvl>
    <w:lvl w:ilvl="8" w:tplc="10000005" w:tentative="1">
      <w:start w:val="1"/>
      <w:numFmt w:val="bullet"/>
      <w:lvlText w:val=""/>
      <w:lvlJc w:val="left"/>
      <w:pPr>
        <w:ind w:left="6538" w:hanging="360"/>
      </w:pPr>
      <w:rPr>
        <w:rFonts w:ascii="Wingdings" w:hAnsi="Wingdings" w:hint="default"/>
      </w:rPr>
    </w:lvl>
  </w:abstractNum>
  <w:abstractNum w:abstractNumId="14" w15:restartNumberingAfterBreak="0">
    <w:nsid w:val="2F980D52"/>
    <w:multiLevelType w:val="hybridMultilevel"/>
    <w:tmpl w:val="8E52667C"/>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30BC4E1F"/>
    <w:multiLevelType w:val="hybridMultilevel"/>
    <w:tmpl w:val="753C0596"/>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32AC23F2"/>
    <w:multiLevelType w:val="hybridMultilevel"/>
    <w:tmpl w:val="4F18B7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5122FD6"/>
    <w:multiLevelType w:val="hybridMultilevel"/>
    <w:tmpl w:val="B2946F42"/>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624FC4"/>
    <w:multiLevelType w:val="hybridMultilevel"/>
    <w:tmpl w:val="D10E98FE"/>
    <w:lvl w:ilvl="0" w:tplc="08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A84A2B"/>
    <w:multiLevelType w:val="hybridMultilevel"/>
    <w:tmpl w:val="4252952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A1069D"/>
    <w:multiLevelType w:val="multilevel"/>
    <w:tmpl w:val="C27469A6"/>
    <w:lvl w:ilvl="0">
      <w:start w:val="1"/>
      <w:numFmt w:val="bullet"/>
      <w:lvlText w:val=""/>
      <w:lvlJc w:val="left"/>
      <w:pPr>
        <w:ind w:left="720" w:hanging="360"/>
      </w:pPr>
      <w:rPr>
        <w:rFonts w:ascii="Symbol" w:hAnsi="Symbol" w:hint="default"/>
        <w:lang w:val="x-no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FA424A"/>
    <w:multiLevelType w:val="hybridMultilevel"/>
    <w:tmpl w:val="D796450E"/>
    <w:lvl w:ilvl="0" w:tplc="1000000F">
      <w:start w:val="1"/>
      <w:numFmt w:val="decimal"/>
      <w:lvlText w:val="%1."/>
      <w:lvlJc w:val="left"/>
      <w:pPr>
        <w:ind w:left="720" w:hanging="360"/>
      </w:pPr>
      <w:rPr>
        <w:rFonts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091E4808"/>
    <w:lvl w:ilvl="0" w:tplc="D9A0472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336567"/>
    <w:multiLevelType w:val="hybridMultilevel"/>
    <w:tmpl w:val="D974E76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7E6051"/>
    <w:multiLevelType w:val="hybridMultilevel"/>
    <w:tmpl w:val="AAD8B05A"/>
    <w:lvl w:ilvl="0" w:tplc="10000001">
      <w:start w:val="1"/>
      <w:numFmt w:val="bullet"/>
      <w:lvlText w:val=""/>
      <w:lvlJc w:val="left"/>
      <w:pPr>
        <w:ind w:left="2024" w:hanging="360"/>
      </w:pPr>
      <w:rPr>
        <w:rFonts w:ascii="Symbol" w:hAnsi="Symbol" w:hint="default"/>
      </w:rPr>
    </w:lvl>
    <w:lvl w:ilvl="1" w:tplc="10000003" w:tentative="1">
      <w:start w:val="1"/>
      <w:numFmt w:val="bullet"/>
      <w:lvlText w:val="o"/>
      <w:lvlJc w:val="left"/>
      <w:pPr>
        <w:ind w:left="2744" w:hanging="360"/>
      </w:pPr>
      <w:rPr>
        <w:rFonts w:ascii="Courier New" w:hAnsi="Courier New" w:cs="Courier New" w:hint="default"/>
      </w:rPr>
    </w:lvl>
    <w:lvl w:ilvl="2" w:tplc="10000005" w:tentative="1">
      <w:start w:val="1"/>
      <w:numFmt w:val="bullet"/>
      <w:lvlText w:val=""/>
      <w:lvlJc w:val="left"/>
      <w:pPr>
        <w:ind w:left="3464" w:hanging="360"/>
      </w:pPr>
      <w:rPr>
        <w:rFonts w:ascii="Wingdings" w:hAnsi="Wingdings" w:hint="default"/>
      </w:rPr>
    </w:lvl>
    <w:lvl w:ilvl="3" w:tplc="10000001" w:tentative="1">
      <w:start w:val="1"/>
      <w:numFmt w:val="bullet"/>
      <w:lvlText w:val=""/>
      <w:lvlJc w:val="left"/>
      <w:pPr>
        <w:ind w:left="4184" w:hanging="360"/>
      </w:pPr>
      <w:rPr>
        <w:rFonts w:ascii="Symbol" w:hAnsi="Symbol" w:hint="default"/>
      </w:rPr>
    </w:lvl>
    <w:lvl w:ilvl="4" w:tplc="10000003" w:tentative="1">
      <w:start w:val="1"/>
      <w:numFmt w:val="bullet"/>
      <w:lvlText w:val="o"/>
      <w:lvlJc w:val="left"/>
      <w:pPr>
        <w:ind w:left="4904" w:hanging="360"/>
      </w:pPr>
      <w:rPr>
        <w:rFonts w:ascii="Courier New" w:hAnsi="Courier New" w:cs="Courier New" w:hint="default"/>
      </w:rPr>
    </w:lvl>
    <w:lvl w:ilvl="5" w:tplc="10000005" w:tentative="1">
      <w:start w:val="1"/>
      <w:numFmt w:val="bullet"/>
      <w:lvlText w:val=""/>
      <w:lvlJc w:val="left"/>
      <w:pPr>
        <w:ind w:left="5624" w:hanging="360"/>
      </w:pPr>
      <w:rPr>
        <w:rFonts w:ascii="Wingdings" w:hAnsi="Wingdings" w:hint="default"/>
      </w:rPr>
    </w:lvl>
    <w:lvl w:ilvl="6" w:tplc="10000001" w:tentative="1">
      <w:start w:val="1"/>
      <w:numFmt w:val="bullet"/>
      <w:lvlText w:val=""/>
      <w:lvlJc w:val="left"/>
      <w:pPr>
        <w:ind w:left="6344" w:hanging="360"/>
      </w:pPr>
      <w:rPr>
        <w:rFonts w:ascii="Symbol" w:hAnsi="Symbol" w:hint="default"/>
      </w:rPr>
    </w:lvl>
    <w:lvl w:ilvl="7" w:tplc="10000003" w:tentative="1">
      <w:start w:val="1"/>
      <w:numFmt w:val="bullet"/>
      <w:lvlText w:val="o"/>
      <w:lvlJc w:val="left"/>
      <w:pPr>
        <w:ind w:left="7064" w:hanging="360"/>
      </w:pPr>
      <w:rPr>
        <w:rFonts w:ascii="Courier New" w:hAnsi="Courier New" w:cs="Courier New" w:hint="default"/>
      </w:rPr>
    </w:lvl>
    <w:lvl w:ilvl="8" w:tplc="10000005" w:tentative="1">
      <w:start w:val="1"/>
      <w:numFmt w:val="bullet"/>
      <w:lvlText w:val=""/>
      <w:lvlJc w:val="left"/>
      <w:pPr>
        <w:ind w:left="7784" w:hanging="360"/>
      </w:pPr>
      <w:rPr>
        <w:rFonts w:ascii="Wingdings" w:hAnsi="Wingdings" w:hint="default"/>
      </w:rPr>
    </w:lvl>
  </w:abstractNum>
  <w:abstractNum w:abstractNumId="31"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8ED4D2E"/>
    <w:multiLevelType w:val="hybridMultilevel"/>
    <w:tmpl w:val="BA4C79D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C3368BD"/>
    <w:multiLevelType w:val="hybridMultilevel"/>
    <w:tmpl w:val="CFCC4D6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5F9C21F8"/>
    <w:multiLevelType w:val="hybridMultilevel"/>
    <w:tmpl w:val="D796450E"/>
    <w:lvl w:ilvl="0" w:tplc="1000000F">
      <w:start w:val="1"/>
      <w:numFmt w:val="decimal"/>
      <w:lvlText w:val="%1."/>
      <w:lvlJc w:val="left"/>
      <w:pPr>
        <w:ind w:left="720" w:hanging="360"/>
      </w:pPr>
      <w:rPr>
        <w:rFonts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6" w15:restartNumberingAfterBreak="0">
    <w:nsid w:val="67FF663A"/>
    <w:multiLevelType w:val="hybridMultilevel"/>
    <w:tmpl w:val="19A42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D0C2581"/>
    <w:multiLevelType w:val="hybridMultilevel"/>
    <w:tmpl w:val="02745A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6F9D369A"/>
    <w:multiLevelType w:val="hybridMultilevel"/>
    <w:tmpl w:val="C4768D2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5660B9A"/>
    <w:multiLevelType w:val="hybridMultilevel"/>
    <w:tmpl w:val="66AE9F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2" w15:restartNumberingAfterBreak="0">
    <w:nsid w:val="7E432762"/>
    <w:multiLevelType w:val="hybridMultilevel"/>
    <w:tmpl w:val="39BC2B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0"/>
  </w:num>
  <w:num w:numId="3">
    <w:abstractNumId w:val="27"/>
  </w:num>
  <w:num w:numId="4">
    <w:abstractNumId w:val="29"/>
  </w:num>
  <w:num w:numId="5">
    <w:abstractNumId w:val="33"/>
  </w:num>
  <w:num w:numId="6">
    <w:abstractNumId w:val="10"/>
  </w:num>
  <w:num w:numId="7">
    <w:abstractNumId w:val="12"/>
  </w:num>
  <w:num w:numId="8">
    <w:abstractNumId w:val="4"/>
  </w:num>
  <w:num w:numId="9">
    <w:abstractNumId w:val="40"/>
  </w:num>
  <w:num w:numId="10">
    <w:abstractNumId w:val="17"/>
  </w:num>
  <w:num w:numId="11">
    <w:abstractNumId w:val="38"/>
  </w:num>
  <w:num w:numId="12">
    <w:abstractNumId w:val="3"/>
  </w:num>
  <w:num w:numId="13">
    <w:abstractNumId w:val="34"/>
  </w:num>
  <w:num w:numId="14">
    <w:abstractNumId w:val="18"/>
  </w:num>
  <w:num w:numId="15">
    <w:abstractNumId w:val="22"/>
  </w:num>
  <w:num w:numId="16">
    <w:abstractNumId w:val="11"/>
  </w:num>
  <w:num w:numId="17">
    <w:abstractNumId w:val="25"/>
  </w:num>
  <w:num w:numId="18">
    <w:abstractNumId w:val="5"/>
  </w:num>
  <w:num w:numId="19">
    <w:abstractNumId w:val="32"/>
  </w:num>
  <w:num w:numId="20">
    <w:abstractNumId w:val="1"/>
  </w:num>
  <w:num w:numId="21">
    <w:abstractNumId w:val="23"/>
  </w:num>
  <w:num w:numId="22">
    <w:abstractNumId w:val="14"/>
  </w:num>
  <w:num w:numId="23">
    <w:abstractNumId w:val="15"/>
  </w:num>
  <w:num w:numId="24">
    <w:abstractNumId w:val="8"/>
  </w:num>
  <w:num w:numId="25">
    <w:abstractNumId w:val="35"/>
  </w:num>
  <w:num w:numId="26">
    <w:abstractNumId w:val="26"/>
  </w:num>
  <w:num w:numId="27">
    <w:abstractNumId w:val="39"/>
  </w:num>
  <w:num w:numId="28">
    <w:abstractNumId w:val="41"/>
  </w:num>
  <w:num w:numId="29">
    <w:abstractNumId w:val="13"/>
  </w:num>
  <w:num w:numId="30">
    <w:abstractNumId w:val="28"/>
  </w:num>
  <w:num w:numId="31">
    <w:abstractNumId w:val="2"/>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6"/>
  </w:num>
  <w:num w:numId="35">
    <w:abstractNumId w:val="31"/>
  </w:num>
  <w:num w:numId="36">
    <w:abstractNumId w:val="20"/>
  </w:num>
  <w:num w:numId="37">
    <w:abstractNumId w:val="42"/>
  </w:num>
  <w:num w:numId="38">
    <w:abstractNumId w:val="36"/>
  </w:num>
  <w:num w:numId="39">
    <w:abstractNumId w:val="37"/>
  </w:num>
  <w:num w:numId="40">
    <w:abstractNumId w:val="9"/>
  </w:num>
  <w:num w:numId="41">
    <w:abstractNumId w:val="7"/>
  </w:num>
  <w:num w:numId="42">
    <w:abstractNumId w:val="19"/>
  </w:num>
  <w:num w:numId="43">
    <w:abstractNumId w:val="30"/>
  </w:num>
  <w:num w:numId="44">
    <w:abstractNumId w:val="1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LawNLMwtzQyMLQwsrBQ0lEKTi0uzszPAykwqwUAsOvVjSwAAAA="/>
  </w:docVars>
  <w:rsids>
    <w:rsidRoot w:val="00B713D8"/>
    <w:rsid w:val="000006E1"/>
    <w:rsid w:val="000007BD"/>
    <w:rsid w:val="00000F60"/>
    <w:rsid w:val="0000125A"/>
    <w:rsid w:val="00001B8A"/>
    <w:rsid w:val="00001EF6"/>
    <w:rsid w:val="000026D7"/>
    <w:rsid w:val="00002858"/>
    <w:rsid w:val="00002A37"/>
    <w:rsid w:val="00003271"/>
    <w:rsid w:val="000033C3"/>
    <w:rsid w:val="000037CE"/>
    <w:rsid w:val="00003F27"/>
    <w:rsid w:val="00004A2A"/>
    <w:rsid w:val="00004DBA"/>
    <w:rsid w:val="00005110"/>
    <w:rsid w:val="0000564C"/>
    <w:rsid w:val="00005870"/>
    <w:rsid w:val="00005A72"/>
    <w:rsid w:val="00006446"/>
    <w:rsid w:val="00006896"/>
    <w:rsid w:val="00007137"/>
    <w:rsid w:val="00007327"/>
    <w:rsid w:val="00007B62"/>
    <w:rsid w:val="00007C30"/>
    <w:rsid w:val="00007CDC"/>
    <w:rsid w:val="00010396"/>
    <w:rsid w:val="00010D1D"/>
    <w:rsid w:val="00010E3C"/>
    <w:rsid w:val="000113D9"/>
    <w:rsid w:val="00011686"/>
    <w:rsid w:val="00011AEF"/>
    <w:rsid w:val="00011B28"/>
    <w:rsid w:val="00011C3B"/>
    <w:rsid w:val="000120F4"/>
    <w:rsid w:val="0001220E"/>
    <w:rsid w:val="000125C2"/>
    <w:rsid w:val="00012B82"/>
    <w:rsid w:val="00014219"/>
    <w:rsid w:val="000145D9"/>
    <w:rsid w:val="00015367"/>
    <w:rsid w:val="0001561E"/>
    <w:rsid w:val="00015D15"/>
    <w:rsid w:val="00016F41"/>
    <w:rsid w:val="00017080"/>
    <w:rsid w:val="000176B9"/>
    <w:rsid w:val="00017CA7"/>
    <w:rsid w:val="00017DBE"/>
    <w:rsid w:val="00017FB1"/>
    <w:rsid w:val="00020C14"/>
    <w:rsid w:val="00020D64"/>
    <w:rsid w:val="00023FBE"/>
    <w:rsid w:val="00024D26"/>
    <w:rsid w:val="00024E29"/>
    <w:rsid w:val="0002564D"/>
    <w:rsid w:val="00025ECA"/>
    <w:rsid w:val="00026D22"/>
    <w:rsid w:val="00026D7F"/>
    <w:rsid w:val="00026E26"/>
    <w:rsid w:val="0002754B"/>
    <w:rsid w:val="000303D7"/>
    <w:rsid w:val="0003188A"/>
    <w:rsid w:val="000325B8"/>
    <w:rsid w:val="00034C15"/>
    <w:rsid w:val="00034CDF"/>
    <w:rsid w:val="00035170"/>
    <w:rsid w:val="0003536F"/>
    <w:rsid w:val="00036637"/>
    <w:rsid w:val="000366CA"/>
    <w:rsid w:val="00036BA1"/>
    <w:rsid w:val="00037E8F"/>
    <w:rsid w:val="00040C68"/>
    <w:rsid w:val="00040E13"/>
    <w:rsid w:val="000416C0"/>
    <w:rsid w:val="0004176D"/>
    <w:rsid w:val="00041C18"/>
    <w:rsid w:val="000422E2"/>
    <w:rsid w:val="000427B7"/>
    <w:rsid w:val="00042F22"/>
    <w:rsid w:val="00042FBB"/>
    <w:rsid w:val="00043031"/>
    <w:rsid w:val="0004409E"/>
    <w:rsid w:val="000444EF"/>
    <w:rsid w:val="00045345"/>
    <w:rsid w:val="00045A8F"/>
    <w:rsid w:val="00045CEA"/>
    <w:rsid w:val="00046410"/>
    <w:rsid w:val="00046A68"/>
    <w:rsid w:val="00046B91"/>
    <w:rsid w:val="00046FF1"/>
    <w:rsid w:val="00047153"/>
    <w:rsid w:val="000472A9"/>
    <w:rsid w:val="0004736A"/>
    <w:rsid w:val="00047666"/>
    <w:rsid w:val="00047E6B"/>
    <w:rsid w:val="00050FBE"/>
    <w:rsid w:val="00051047"/>
    <w:rsid w:val="00051D2F"/>
    <w:rsid w:val="00051F4A"/>
    <w:rsid w:val="00052A07"/>
    <w:rsid w:val="00052C59"/>
    <w:rsid w:val="0005307C"/>
    <w:rsid w:val="000534E3"/>
    <w:rsid w:val="00054499"/>
    <w:rsid w:val="00054CD2"/>
    <w:rsid w:val="00055368"/>
    <w:rsid w:val="00055B4C"/>
    <w:rsid w:val="0005606A"/>
    <w:rsid w:val="0005625B"/>
    <w:rsid w:val="00056EDB"/>
    <w:rsid w:val="000570C0"/>
    <w:rsid w:val="00057117"/>
    <w:rsid w:val="00057475"/>
    <w:rsid w:val="00060466"/>
    <w:rsid w:val="000607EE"/>
    <w:rsid w:val="000616E7"/>
    <w:rsid w:val="00061D9C"/>
    <w:rsid w:val="00062127"/>
    <w:rsid w:val="00062750"/>
    <w:rsid w:val="00063E7C"/>
    <w:rsid w:val="00063FED"/>
    <w:rsid w:val="00064128"/>
    <w:rsid w:val="000646A8"/>
    <w:rsid w:val="0006487E"/>
    <w:rsid w:val="00064C2A"/>
    <w:rsid w:val="00064E7C"/>
    <w:rsid w:val="00065A06"/>
    <w:rsid w:val="00065E1A"/>
    <w:rsid w:val="00065F1C"/>
    <w:rsid w:val="000663E2"/>
    <w:rsid w:val="0006649B"/>
    <w:rsid w:val="000665BE"/>
    <w:rsid w:val="0006688D"/>
    <w:rsid w:val="00066E01"/>
    <w:rsid w:val="0007139B"/>
    <w:rsid w:val="000722E9"/>
    <w:rsid w:val="000725BD"/>
    <w:rsid w:val="000727A1"/>
    <w:rsid w:val="00072DF9"/>
    <w:rsid w:val="00072F12"/>
    <w:rsid w:val="00073134"/>
    <w:rsid w:val="00073819"/>
    <w:rsid w:val="00073A9C"/>
    <w:rsid w:val="00074B9D"/>
    <w:rsid w:val="00074D45"/>
    <w:rsid w:val="00075AE6"/>
    <w:rsid w:val="0007604E"/>
    <w:rsid w:val="00076352"/>
    <w:rsid w:val="000765C8"/>
    <w:rsid w:val="000768D7"/>
    <w:rsid w:val="00076A20"/>
    <w:rsid w:val="00077E5F"/>
    <w:rsid w:val="0008007F"/>
    <w:rsid w:val="0008036A"/>
    <w:rsid w:val="000810BA"/>
    <w:rsid w:val="0008153B"/>
    <w:rsid w:val="000817A3"/>
    <w:rsid w:val="00081AE6"/>
    <w:rsid w:val="00082322"/>
    <w:rsid w:val="00082763"/>
    <w:rsid w:val="00082E96"/>
    <w:rsid w:val="0008387D"/>
    <w:rsid w:val="00084627"/>
    <w:rsid w:val="00085410"/>
    <w:rsid w:val="000855EB"/>
    <w:rsid w:val="00085B52"/>
    <w:rsid w:val="00085DBB"/>
    <w:rsid w:val="000866F2"/>
    <w:rsid w:val="0008687D"/>
    <w:rsid w:val="00086A8A"/>
    <w:rsid w:val="00086AC8"/>
    <w:rsid w:val="00086D50"/>
    <w:rsid w:val="00086DE9"/>
    <w:rsid w:val="00087B1D"/>
    <w:rsid w:val="00087C26"/>
    <w:rsid w:val="0009009F"/>
    <w:rsid w:val="00090406"/>
    <w:rsid w:val="00090F72"/>
    <w:rsid w:val="00091557"/>
    <w:rsid w:val="00091A72"/>
    <w:rsid w:val="00091DE6"/>
    <w:rsid w:val="000924C1"/>
    <w:rsid w:val="000924DB"/>
    <w:rsid w:val="000924F0"/>
    <w:rsid w:val="00092AF2"/>
    <w:rsid w:val="00093474"/>
    <w:rsid w:val="00094833"/>
    <w:rsid w:val="000948D7"/>
    <w:rsid w:val="00094BD0"/>
    <w:rsid w:val="0009510F"/>
    <w:rsid w:val="000951CD"/>
    <w:rsid w:val="00095711"/>
    <w:rsid w:val="000957BD"/>
    <w:rsid w:val="00095B8A"/>
    <w:rsid w:val="00096039"/>
    <w:rsid w:val="0009691F"/>
    <w:rsid w:val="00096F36"/>
    <w:rsid w:val="00097CD6"/>
    <w:rsid w:val="00097EFC"/>
    <w:rsid w:val="000A00B3"/>
    <w:rsid w:val="000A0CD2"/>
    <w:rsid w:val="000A1B7B"/>
    <w:rsid w:val="000A2009"/>
    <w:rsid w:val="000A2476"/>
    <w:rsid w:val="000A250E"/>
    <w:rsid w:val="000A34EB"/>
    <w:rsid w:val="000A3529"/>
    <w:rsid w:val="000A3761"/>
    <w:rsid w:val="000A3930"/>
    <w:rsid w:val="000A56F2"/>
    <w:rsid w:val="000A5813"/>
    <w:rsid w:val="000A69BD"/>
    <w:rsid w:val="000A6E2E"/>
    <w:rsid w:val="000A78F3"/>
    <w:rsid w:val="000B0675"/>
    <w:rsid w:val="000B267A"/>
    <w:rsid w:val="000B2719"/>
    <w:rsid w:val="000B274E"/>
    <w:rsid w:val="000B2E75"/>
    <w:rsid w:val="000B3A8F"/>
    <w:rsid w:val="000B45F9"/>
    <w:rsid w:val="000B491A"/>
    <w:rsid w:val="000B4AB9"/>
    <w:rsid w:val="000B58C3"/>
    <w:rsid w:val="000B5F49"/>
    <w:rsid w:val="000B61E9"/>
    <w:rsid w:val="000B67ED"/>
    <w:rsid w:val="000B7A48"/>
    <w:rsid w:val="000B7AC4"/>
    <w:rsid w:val="000B7F51"/>
    <w:rsid w:val="000C0554"/>
    <w:rsid w:val="000C05B8"/>
    <w:rsid w:val="000C098E"/>
    <w:rsid w:val="000C1090"/>
    <w:rsid w:val="000C13A4"/>
    <w:rsid w:val="000C165A"/>
    <w:rsid w:val="000C1E8C"/>
    <w:rsid w:val="000C2214"/>
    <w:rsid w:val="000C2E19"/>
    <w:rsid w:val="000C3AF6"/>
    <w:rsid w:val="000C4436"/>
    <w:rsid w:val="000C5232"/>
    <w:rsid w:val="000C535B"/>
    <w:rsid w:val="000C548D"/>
    <w:rsid w:val="000C69F6"/>
    <w:rsid w:val="000C6F5D"/>
    <w:rsid w:val="000C7439"/>
    <w:rsid w:val="000D0103"/>
    <w:rsid w:val="000D04E9"/>
    <w:rsid w:val="000D09A7"/>
    <w:rsid w:val="000D0D07"/>
    <w:rsid w:val="000D0FA1"/>
    <w:rsid w:val="000D2460"/>
    <w:rsid w:val="000D2477"/>
    <w:rsid w:val="000D31E4"/>
    <w:rsid w:val="000D32B0"/>
    <w:rsid w:val="000D3E69"/>
    <w:rsid w:val="000D4695"/>
    <w:rsid w:val="000D46D2"/>
    <w:rsid w:val="000D4797"/>
    <w:rsid w:val="000D48BB"/>
    <w:rsid w:val="000D4E73"/>
    <w:rsid w:val="000D52FD"/>
    <w:rsid w:val="000D62AE"/>
    <w:rsid w:val="000D6DF0"/>
    <w:rsid w:val="000D701D"/>
    <w:rsid w:val="000E04D4"/>
    <w:rsid w:val="000E0527"/>
    <w:rsid w:val="000E0DCE"/>
    <w:rsid w:val="000E132C"/>
    <w:rsid w:val="000E153D"/>
    <w:rsid w:val="000E16DB"/>
    <w:rsid w:val="000E1E92"/>
    <w:rsid w:val="000E1E97"/>
    <w:rsid w:val="000E24F9"/>
    <w:rsid w:val="000E26CB"/>
    <w:rsid w:val="000E279C"/>
    <w:rsid w:val="000E3550"/>
    <w:rsid w:val="000E3591"/>
    <w:rsid w:val="000E361C"/>
    <w:rsid w:val="000E37E2"/>
    <w:rsid w:val="000E470A"/>
    <w:rsid w:val="000E5992"/>
    <w:rsid w:val="000E5EC7"/>
    <w:rsid w:val="000E6574"/>
    <w:rsid w:val="000E6B84"/>
    <w:rsid w:val="000E6C2E"/>
    <w:rsid w:val="000E71CA"/>
    <w:rsid w:val="000E76CE"/>
    <w:rsid w:val="000E77FE"/>
    <w:rsid w:val="000E7D30"/>
    <w:rsid w:val="000F0251"/>
    <w:rsid w:val="000F06D6"/>
    <w:rsid w:val="000F078B"/>
    <w:rsid w:val="000F0D33"/>
    <w:rsid w:val="000F0EB1"/>
    <w:rsid w:val="000F1106"/>
    <w:rsid w:val="000F1354"/>
    <w:rsid w:val="000F1585"/>
    <w:rsid w:val="000F2F58"/>
    <w:rsid w:val="000F37A9"/>
    <w:rsid w:val="000F3B31"/>
    <w:rsid w:val="000F3BE9"/>
    <w:rsid w:val="000F3CB7"/>
    <w:rsid w:val="000F3F6C"/>
    <w:rsid w:val="000F4E0C"/>
    <w:rsid w:val="000F5C63"/>
    <w:rsid w:val="000F5EA7"/>
    <w:rsid w:val="000F6451"/>
    <w:rsid w:val="000F67CB"/>
    <w:rsid w:val="000F6DF3"/>
    <w:rsid w:val="000F6F55"/>
    <w:rsid w:val="000F7F2A"/>
    <w:rsid w:val="001003DA"/>
    <w:rsid w:val="00100417"/>
    <w:rsid w:val="001005FF"/>
    <w:rsid w:val="0010169B"/>
    <w:rsid w:val="00101703"/>
    <w:rsid w:val="00101971"/>
    <w:rsid w:val="001025D3"/>
    <w:rsid w:val="00102957"/>
    <w:rsid w:val="0010305D"/>
    <w:rsid w:val="001039D5"/>
    <w:rsid w:val="00103D46"/>
    <w:rsid w:val="001044CA"/>
    <w:rsid w:val="001048A9"/>
    <w:rsid w:val="00104911"/>
    <w:rsid w:val="00105722"/>
    <w:rsid w:val="001062FB"/>
    <w:rsid w:val="001063E6"/>
    <w:rsid w:val="0010652A"/>
    <w:rsid w:val="00106D36"/>
    <w:rsid w:val="00107062"/>
    <w:rsid w:val="001074E8"/>
    <w:rsid w:val="00107563"/>
    <w:rsid w:val="001075D7"/>
    <w:rsid w:val="001079B6"/>
    <w:rsid w:val="00110312"/>
    <w:rsid w:val="001106E3"/>
    <w:rsid w:val="00111717"/>
    <w:rsid w:val="00111AD7"/>
    <w:rsid w:val="00111BAB"/>
    <w:rsid w:val="00111CAB"/>
    <w:rsid w:val="00111D63"/>
    <w:rsid w:val="001124B9"/>
    <w:rsid w:val="00112BE1"/>
    <w:rsid w:val="00113290"/>
    <w:rsid w:val="001138ED"/>
    <w:rsid w:val="00113CF4"/>
    <w:rsid w:val="00114990"/>
    <w:rsid w:val="00114DA5"/>
    <w:rsid w:val="00115296"/>
    <w:rsid w:val="001153EA"/>
    <w:rsid w:val="00115643"/>
    <w:rsid w:val="0011573D"/>
    <w:rsid w:val="00115A04"/>
    <w:rsid w:val="00115B7B"/>
    <w:rsid w:val="00116765"/>
    <w:rsid w:val="001169BE"/>
    <w:rsid w:val="00116DC2"/>
    <w:rsid w:val="00116DEE"/>
    <w:rsid w:val="001175E4"/>
    <w:rsid w:val="00120056"/>
    <w:rsid w:val="0012090A"/>
    <w:rsid w:val="001209A8"/>
    <w:rsid w:val="00120A55"/>
    <w:rsid w:val="00120B07"/>
    <w:rsid w:val="00120C3D"/>
    <w:rsid w:val="0012159B"/>
    <w:rsid w:val="001219F5"/>
    <w:rsid w:val="00121A20"/>
    <w:rsid w:val="00121EF0"/>
    <w:rsid w:val="001222B4"/>
    <w:rsid w:val="001229AC"/>
    <w:rsid w:val="00122AC1"/>
    <w:rsid w:val="00122C56"/>
    <w:rsid w:val="00122D89"/>
    <w:rsid w:val="001236A2"/>
    <w:rsid w:val="0012377F"/>
    <w:rsid w:val="00123E94"/>
    <w:rsid w:val="00124314"/>
    <w:rsid w:val="001246E7"/>
    <w:rsid w:val="001250AC"/>
    <w:rsid w:val="001252A8"/>
    <w:rsid w:val="001253BF"/>
    <w:rsid w:val="00125BB0"/>
    <w:rsid w:val="00125FC2"/>
    <w:rsid w:val="00126B4A"/>
    <w:rsid w:val="00127BEA"/>
    <w:rsid w:val="001301CB"/>
    <w:rsid w:val="00130CBE"/>
    <w:rsid w:val="00131088"/>
    <w:rsid w:val="001311CD"/>
    <w:rsid w:val="001314EE"/>
    <w:rsid w:val="001322A2"/>
    <w:rsid w:val="001329FB"/>
    <w:rsid w:val="00132F37"/>
    <w:rsid w:val="00132FD0"/>
    <w:rsid w:val="001344C0"/>
    <w:rsid w:val="001344CE"/>
    <w:rsid w:val="001346FA"/>
    <w:rsid w:val="001347DC"/>
    <w:rsid w:val="00135252"/>
    <w:rsid w:val="0013595F"/>
    <w:rsid w:val="00137488"/>
    <w:rsid w:val="00137AB5"/>
    <w:rsid w:val="00137F0B"/>
    <w:rsid w:val="00140559"/>
    <w:rsid w:val="00142F9D"/>
    <w:rsid w:val="00143228"/>
    <w:rsid w:val="00143578"/>
    <w:rsid w:val="001439A4"/>
    <w:rsid w:val="00145CFD"/>
    <w:rsid w:val="001468C2"/>
    <w:rsid w:val="00146F2D"/>
    <w:rsid w:val="00147936"/>
    <w:rsid w:val="001503F5"/>
    <w:rsid w:val="001508E7"/>
    <w:rsid w:val="001510CD"/>
    <w:rsid w:val="00151DD8"/>
    <w:rsid w:val="00151E23"/>
    <w:rsid w:val="001526E0"/>
    <w:rsid w:val="00152935"/>
    <w:rsid w:val="00153AE2"/>
    <w:rsid w:val="00153E85"/>
    <w:rsid w:val="0015414A"/>
    <w:rsid w:val="001551B5"/>
    <w:rsid w:val="00155D94"/>
    <w:rsid w:val="00156247"/>
    <w:rsid w:val="00156A66"/>
    <w:rsid w:val="00156C24"/>
    <w:rsid w:val="001601AA"/>
    <w:rsid w:val="00160680"/>
    <w:rsid w:val="001608AF"/>
    <w:rsid w:val="001618B8"/>
    <w:rsid w:val="00161B20"/>
    <w:rsid w:val="00162B3C"/>
    <w:rsid w:val="00162BCC"/>
    <w:rsid w:val="00163163"/>
    <w:rsid w:val="0016362F"/>
    <w:rsid w:val="001637C1"/>
    <w:rsid w:val="0016383A"/>
    <w:rsid w:val="00163F14"/>
    <w:rsid w:val="00163F4A"/>
    <w:rsid w:val="001642B7"/>
    <w:rsid w:val="0016430F"/>
    <w:rsid w:val="001649F1"/>
    <w:rsid w:val="00164C29"/>
    <w:rsid w:val="00164FEC"/>
    <w:rsid w:val="001650C8"/>
    <w:rsid w:val="0016541F"/>
    <w:rsid w:val="001655A5"/>
    <w:rsid w:val="001659C1"/>
    <w:rsid w:val="00165ABC"/>
    <w:rsid w:val="00165D50"/>
    <w:rsid w:val="00165E23"/>
    <w:rsid w:val="00166632"/>
    <w:rsid w:val="00166C94"/>
    <w:rsid w:val="001670EE"/>
    <w:rsid w:val="001674B6"/>
    <w:rsid w:val="00167732"/>
    <w:rsid w:val="00167C77"/>
    <w:rsid w:val="00167FEF"/>
    <w:rsid w:val="0017016D"/>
    <w:rsid w:val="001707F8"/>
    <w:rsid w:val="001713DE"/>
    <w:rsid w:val="00171497"/>
    <w:rsid w:val="0017193E"/>
    <w:rsid w:val="00171F09"/>
    <w:rsid w:val="00172657"/>
    <w:rsid w:val="001728FD"/>
    <w:rsid w:val="00172CBD"/>
    <w:rsid w:val="00172DE9"/>
    <w:rsid w:val="001732AD"/>
    <w:rsid w:val="001735A6"/>
    <w:rsid w:val="00173A8E"/>
    <w:rsid w:val="00174B29"/>
    <w:rsid w:val="00174BBB"/>
    <w:rsid w:val="0017502C"/>
    <w:rsid w:val="0017564B"/>
    <w:rsid w:val="00175EDF"/>
    <w:rsid w:val="001762B2"/>
    <w:rsid w:val="001766F8"/>
    <w:rsid w:val="0017764E"/>
    <w:rsid w:val="00177A80"/>
    <w:rsid w:val="00180D92"/>
    <w:rsid w:val="00180E7E"/>
    <w:rsid w:val="00181409"/>
    <w:rsid w:val="0018143F"/>
    <w:rsid w:val="00181A89"/>
    <w:rsid w:val="00181E58"/>
    <w:rsid w:val="00181FF8"/>
    <w:rsid w:val="001822D8"/>
    <w:rsid w:val="001825EA"/>
    <w:rsid w:val="00182747"/>
    <w:rsid w:val="0018291D"/>
    <w:rsid w:val="00182C40"/>
    <w:rsid w:val="00182C78"/>
    <w:rsid w:val="00182F6D"/>
    <w:rsid w:val="00183359"/>
    <w:rsid w:val="001838ED"/>
    <w:rsid w:val="00183B70"/>
    <w:rsid w:val="001842FF"/>
    <w:rsid w:val="00184908"/>
    <w:rsid w:val="00185855"/>
    <w:rsid w:val="00185CAF"/>
    <w:rsid w:val="001867FE"/>
    <w:rsid w:val="00186C54"/>
    <w:rsid w:val="0018779E"/>
    <w:rsid w:val="00190AC1"/>
    <w:rsid w:val="00191089"/>
    <w:rsid w:val="00191F1A"/>
    <w:rsid w:val="00192EB8"/>
    <w:rsid w:val="0019341A"/>
    <w:rsid w:val="00194274"/>
    <w:rsid w:val="001942C0"/>
    <w:rsid w:val="00194821"/>
    <w:rsid w:val="001956F9"/>
    <w:rsid w:val="001959F8"/>
    <w:rsid w:val="00195C0D"/>
    <w:rsid w:val="00196E6F"/>
    <w:rsid w:val="001970F4"/>
    <w:rsid w:val="001971FF"/>
    <w:rsid w:val="0019741E"/>
    <w:rsid w:val="0019757C"/>
    <w:rsid w:val="00197DF9"/>
    <w:rsid w:val="00197F4B"/>
    <w:rsid w:val="001A0437"/>
    <w:rsid w:val="001A0CE7"/>
    <w:rsid w:val="001A13B8"/>
    <w:rsid w:val="001A1432"/>
    <w:rsid w:val="001A1987"/>
    <w:rsid w:val="001A1CE1"/>
    <w:rsid w:val="001A214E"/>
    <w:rsid w:val="001A252D"/>
    <w:rsid w:val="001A2564"/>
    <w:rsid w:val="001A25B7"/>
    <w:rsid w:val="001A3C66"/>
    <w:rsid w:val="001A3CB5"/>
    <w:rsid w:val="001A40DA"/>
    <w:rsid w:val="001A46F6"/>
    <w:rsid w:val="001A4D3F"/>
    <w:rsid w:val="001A4E58"/>
    <w:rsid w:val="001A5A45"/>
    <w:rsid w:val="001A6173"/>
    <w:rsid w:val="001A688E"/>
    <w:rsid w:val="001A6C21"/>
    <w:rsid w:val="001A6CBA"/>
    <w:rsid w:val="001A7556"/>
    <w:rsid w:val="001A7F29"/>
    <w:rsid w:val="001B012A"/>
    <w:rsid w:val="001B01B7"/>
    <w:rsid w:val="001B0D97"/>
    <w:rsid w:val="001B1627"/>
    <w:rsid w:val="001B2659"/>
    <w:rsid w:val="001B2A58"/>
    <w:rsid w:val="001B3170"/>
    <w:rsid w:val="001B32EA"/>
    <w:rsid w:val="001B345A"/>
    <w:rsid w:val="001B3F3E"/>
    <w:rsid w:val="001B402D"/>
    <w:rsid w:val="001B4051"/>
    <w:rsid w:val="001B4A04"/>
    <w:rsid w:val="001B4C03"/>
    <w:rsid w:val="001B4D22"/>
    <w:rsid w:val="001B575A"/>
    <w:rsid w:val="001B5A5D"/>
    <w:rsid w:val="001B5A61"/>
    <w:rsid w:val="001B6052"/>
    <w:rsid w:val="001B7259"/>
    <w:rsid w:val="001B7A27"/>
    <w:rsid w:val="001C0028"/>
    <w:rsid w:val="001C03CD"/>
    <w:rsid w:val="001C0448"/>
    <w:rsid w:val="001C1254"/>
    <w:rsid w:val="001C1CE5"/>
    <w:rsid w:val="001C244E"/>
    <w:rsid w:val="001C27DD"/>
    <w:rsid w:val="001C2C0E"/>
    <w:rsid w:val="001C3545"/>
    <w:rsid w:val="001C3C23"/>
    <w:rsid w:val="001C3D2A"/>
    <w:rsid w:val="001C3EBD"/>
    <w:rsid w:val="001C45FB"/>
    <w:rsid w:val="001C4DB0"/>
    <w:rsid w:val="001C5964"/>
    <w:rsid w:val="001C7173"/>
    <w:rsid w:val="001D1A95"/>
    <w:rsid w:val="001D1C3A"/>
    <w:rsid w:val="001D2018"/>
    <w:rsid w:val="001D2365"/>
    <w:rsid w:val="001D23C1"/>
    <w:rsid w:val="001D25F0"/>
    <w:rsid w:val="001D2740"/>
    <w:rsid w:val="001D51BA"/>
    <w:rsid w:val="001D53E7"/>
    <w:rsid w:val="001D5919"/>
    <w:rsid w:val="001D5AFD"/>
    <w:rsid w:val="001D5C30"/>
    <w:rsid w:val="001D6295"/>
    <w:rsid w:val="001D6342"/>
    <w:rsid w:val="001D6723"/>
    <w:rsid w:val="001D6D53"/>
    <w:rsid w:val="001D6DB8"/>
    <w:rsid w:val="001D74D3"/>
    <w:rsid w:val="001D77E9"/>
    <w:rsid w:val="001E07FA"/>
    <w:rsid w:val="001E10B8"/>
    <w:rsid w:val="001E1AF7"/>
    <w:rsid w:val="001E2CE7"/>
    <w:rsid w:val="001E2D58"/>
    <w:rsid w:val="001E2DBF"/>
    <w:rsid w:val="001E43B4"/>
    <w:rsid w:val="001E4C56"/>
    <w:rsid w:val="001E539F"/>
    <w:rsid w:val="001E5505"/>
    <w:rsid w:val="001E58E2"/>
    <w:rsid w:val="001E5E26"/>
    <w:rsid w:val="001E5E57"/>
    <w:rsid w:val="001E65D5"/>
    <w:rsid w:val="001E6B17"/>
    <w:rsid w:val="001E72E3"/>
    <w:rsid w:val="001E7A11"/>
    <w:rsid w:val="001E7AED"/>
    <w:rsid w:val="001E7ECD"/>
    <w:rsid w:val="001F0549"/>
    <w:rsid w:val="001F0EFF"/>
    <w:rsid w:val="001F16F2"/>
    <w:rsid w:val="001F1D63"/>
    <w:rsid w:val="001F2412"/>
    <w:rsid w:val="001F2433"/>
    <w:rsid w:val="001F334C"/>
    <w:rsid w:val="001F35BE"/>
    <w:rsid w:val="001F3715"/>
    <w:rsid w:val="001F3916"/>
    <w:rsid w:val="001F3FD4"/>
    <w:rsid w:val="001F4052"/>
    <w:rsid w:val="001F41AA"/>
    <w:rsid w:val="001F4266"/>
    <w:rsid w:val="001F4DE5"/>
    <w:rsid w:val="001F4F40"/>
    <w:rsid w:val="001F504A"/>
    <w:rsid w:val="001F50FE"/>
    <w:rsid w:val="001F54C5"/>
    <w:rsid w:val="001F5697"/>
    <w:rsid w:val="001F593D"/>
    <w:rsid w:val="001F5AAC"/>
    <w:rsid w:val="001F64B4"/>
    <w:rsid w:val="001F662C"/>
    <w:rsid w:val="001F66E9"/>
    <w:rsid w:val="001F6722"/>
    <w:rsid w:val="001F6DBA"/>
    <w:rsid w:val="001F7074"/>
    <w:rsid w:val="00200246"/>
    <w:rsid w:val="00200490"/>
    <w:rsid w:val="0020059F"/>
    <w:rsid w:val="00200B55"/>
    <w:rsid w:val="0020118C"/>
    <w:rsid w:val="00201930"/>
    <w:rsid w:val="00201F3A"/>
    <w:rsid w:val="00202049"/>
    <w:rsid w:val="00202D78"/>
    <w:rsid w:val="0020337F"/>
    <w:rsid w:val="00203BE4"/>
    <w:rsid w:val="00203F96"/>
    <w:rsid w:val="00205325"/>
    <w:rsid w:val="00205B83"/>
    <w:rsid w:val="00206205"/>
    <w:rsid w:val="002069B2"/>
    <w:rsid w:val="00206C0A"/>
    <w:rsid w:val="00207A9F"/>
    <w:rsid w:val="00207D2D"/>
    <w:rsid w:val="00207FA3"/>
    <w:rsid w:val="002116BD"/>
    <w:rsid w:val="0021239A"/>
    <w:rsid w:val="0021339E"/>
    <w:rsid w:val="002133A3"/>
    <w:rsid w:val="002145A2"/>
    <w:rsid w:val="002149FA"/>
    <w:rsid w:val="00214B0C"/>
    <w:rsid w:val="00214CEF"/>
    <w:rsid w:val="00214DA8"/>
    <w:rsid w:val="00215423"/>
    <w:rsid w:val="002158FA"/>
    <w:rsid w:val="00215AE0"/>
    <w:rsid w:val="00216AD6"/>
    <w:rsid w:val="00216F43"/>
    <w:rsid w:val="00217824"/>
    <w:rsid w:val="0021795D"/>
    <w:rsid w:val="00220600"/>
    <w:rsid w:val="002211D6"/>
    <w:rsid w:val="0022248C"/>
    <w:rsid w:val="002224DB"/>
    <w:rsid w:val="00222BEC"/>
    <w:rsid w:val="00223300"/>
    <w:rsid w:val="002233D3"/>
    <w:rsid w:val="002236C2"/>
    <w:rsid w:val="00223725"/>
    <w:rsid w:val="00223731"/>
    <w:rsid w:val="00223B7C"/>
    <w:rsid w:val="00223E74"/>
    <w:rsid w:val="00223FCB"/>
    <w:rsid w:val="002246BA"/>
    <w:rsid w:val="002252C3"/>
    <w:rsid w:val="00225434"/>
    <w:rsid w:val="00225A22"/>
    <w:rsid w:val="00225C54"/>
    <w:rsid w:val="00226018"/>
    <w:rsid w:val="00227D41"/>
    <w:rsid w:val="00230765"/>
    <w:rsid w:val="00230D18"/>
    <w:rsid w:val="0023108E"/>
    <w:rsid w:val="002319E4"/>
    <w:rsid w:val="002324DF"/>
    <w:rsid w:val="00232678"/>
    <w:rsid w:val="00232F5C"/>
    <w:rsid w:val="00234F3F"/>
    <w:rsid w:val="00234F80"/>
    <w:rsid w:val="00235526"/>
    <w:rsid w:val="00235632"/>
    <w:rsid w:val="00235872"/>
    <w:rsid w:val="00236C6B"/>
    <w:rsid w:val="00236CDC"/>
    <w:rsid w:val="00236EEE"/>
    <w:rsid w:val="0023745C"/>
    <w:rsid w:val="002375FC"/>
    <w:rsid w:val="002376EC"/>
    <w:rsid w:val="00237A73"/>
    <w:rsid w:val="00240535"/>
    <w:rsid w:val="00240C12"/>
    <w:rsid w:val="00241559"/>
    <w:rsid w:val="002417CA"/>
    <w:rsid w:val="002418F9"/>
    <w:rsid w:val="002419F1"/>
    <w:rsid w:val="00242315"/>
    <w:rsid w:val="002428C6"/>
    <w:rsid w:val="00242AC1"/>
    <w:rsid w:val="002435B3"/>
    <w:rsid w:val="0024381D"/>
    <w:rsid w:val="00243982"/>
    <w:rsid w:val="00244306"/>
    <w:rsid w:val="00244E7C"/>
    <w:rsid w:val="0024571F"/>
    <w:rsid w:val="002458EB"/>
    <w:rsid w:val="00246A31"/>
    <w:rsid w:val="00247486"/>
    <w:rsid w:val="00247BF6"/>
    <w:rsid w:val="00247FE2"/>
    <w:rsid w:val="002500C8"/>
    <w:rsid w:val="002507C2"/>
    <w:rsid w:val="0025098B"/>
    <w:rsid w:val="00250CB5"/>
    <w:rsid w:val="00251667"/>
    <w:rsid w:val="00251D0E"/>
    <w:rsid w:val="00251DFC"/>
    <w:rsid w:val="00251FF8"/>
    <w:rsid w:val="0025282E"/>
    <w:rsid w:val="00253696"/>
    <w:rsid w:val="0025393A"/>
    <w:rsid w:val="00253F23"/>
    <w:rsid w:val="00254CCC"/>
    <w:rsid w:val="0025525F"/>
    <w:rsid w:val="002558E3"/>
    <w:rsid w:val="00256829"/>
    <w:rsid w:val="00256C4E"/>
    <w:rsid w:val="00256DCE"/>
    <w:rsid w:val="00256F11"/>
    <w:rsid w:val="00257218"/>
    <w:rsid w:val="00257528"/>
    <w:rsid w:val="00257543"/>
    <w:rsid w:val="0025759F"/>
    <w:rsid w:val="002577C1"/>
    <w:rsid w:val="00257B93"/>
    <w:rsid w:val="00257C82"/>
    <w:rsid w:val="00260523"/>
    <w:rsid w:val="0026136E"/>
    <w:rsid w:val="002614D4"/>
    <w:rsid w:val="002617E7"/>
    <w:rsid w:val="00262348"/>
    <w:rsid w:val="00262572"/>
    <w:rsid w:val="00263565"/>
    <w:rsid w:val="00263BAD"/>
    <w:rsid w:val="00264228"/>
    <w:rsid w:val="00264334"/>
    <w:rsid w:val="00264557"/>
    <w:rsid w:val="0026473E"/>
    <w:rsid w:val="00265420"/>
    <w:rsid w:val="002658E6"/>
    <w:rsid w:val="00266214"/>
    <w:rsid w:val="00267241"/>
    <w:rsid w:val="0026756E"/>
    <w:rsid w:val="00267C83"/>
    <w:rsid w:val="00270662"/>
    <w:rsid w:val="00270F73"/>
    <w:rsid w:val="0027135A"/>
    <w:rsid w:val="0027144F"/>
    <w:rsid w:val="00271813"/>
    <w:rsid w:val="00271901"/>
    <w:rsid w:val="00271F3A"/>
    <w:rsid w:val="002720B1"/>
    <w:rsid w:val="00272388"/>
    <w:rsid w:val="00272E42"/>
    <w:rsid w:val="00273278"/>
    <w:rsid w:val="00273391"/>
    <w:rsid w:val="002737F4"/>
    <w:rsid w:val="002738C9"/>
    <w:rsid w:val="00273FF5"/>
    <w:rsid w:val="00274ABB"/>
    <w:rsid w:val="00274D63"/>
    <w:rsid w:val="002754B1"/>
    <w:rsid w:val="00276664"/>
    <w:rsid w:val="00277129"/>
    <w:rsid w:val="002805F5"/>
    <w:rsid w:val="00280751"/>
    <w:rsid w:val="002812B5"/>
    <w:rsid w:val="002815FD"/>
    <w:rsid w:val="00281B6A"/>
    <w:rsid w:val="0028211E"/>
    <w:rsid w:val="0028280A"/>
    <w:rsid w:val="00282919"/>
    <w:rsid w:val="00282B21"/>
    <w:rsid w:val="00283A6E"/>
    <w:rsid w:val="00284831"/>
    <w:rsid w:val="00284F21"/>
    <w:rsid w:val="0028606F"/>
    <w:rsid w:val="002866C2"/>
    <w:rsid w:val="00286ACD"/>
    <w:rsid w:val="00286DB8"/>
    <w:rsid w:val="0028782E"/>
    <w:rsid w:val="00287838"/>
    <w:rsid w:val="00287B66"/>
    <w:rsid w:val="002907B5"/>
    <w:rsid w:val="00290C64"/>
    <w:rsid w:val="00290F52"/>
    <w:rsid w:val="00291A4A"/>
    <w:rsid w:val="00292EB7"/>
    <w:rsid w:val="00293182"/>
    <w:rsid w:val="0029331F"/>
    <w:rsid w:val="00293AE8"/>
    <w:rsid w:val="00293C09"/>
    <w:rsid w:val="00293C2D"/>
    <w:rsid w:val="0029403D"/>
    <w:rsid w:val="002941E6"/>
    <w:rsid w:val="002945CF"/>
    <w:rsid w:val="00294659"/>
    <w:rsid w:val="00294EAB"/>
    <w:rsid w:val="002951A9"/>
    <w:rsid w:val="00295594"/>
    <w:rsid w:val="00296227"/>
    <w:rsid w:val="002968FC"/>
    <w:rsid w:val="00296D31"/>
    <w:rsid w:val="00296E0F"/>
    <w:rsid w:val="00296F44"/>
    <w:rsid w:val="0029747B"/>
    <w:rsid w:val="0029777D"/>
    <w:rsid w:val="002A02C3"/>
    <w:rsid w:val="002A03FB"/>
    <w:rsid w:val="002A055E"/>
    <w:rsid w:val="002A0651"/>
    <w:rsid w:val="002A09A9"/>
    <w:rsid w:val="002A104E"/>
    <w:rsid w:val="002A1D4E"/>
    <w:rsid w:val="002A2869"/>
    <w:rsid w:val="002A289D"/>
    <w:rsid w:val="002A2B85"/>
    <w:rsid w:val="002A2D95"/>
    <w:rsid w:val="002A42F0"/>
    <w:rsid w:val="002A449D"/>
    <w:rsid w:val="002A49CF"/>
    <w:rsid w:val="002A4C06"/>
    <w:rsid w:val="002A4E3A"/>
    <w:rsid w:val="002A5380"/>
    <w:rsid w:val="002A54C5"/>
    <w:rsid w:val="002A589C"/>
    <w:rsid w:val="002A5BD0"/>
    <w:rsid w:val="002A6AE3"/>
    <w:rsid w:val="002A6BF4"/>
    <w:rsid w:val="002A7750"/>
    <w:rsid w:val="002A7934"/>
    <w:rsid w:val="002A7AE1"/>
    <w:rsid w:val="002A7ECA"/>
    <w:rsid w:val="002B0666"/>
    <w:rsid w:val="002B1D8A"/>
    <w:rsid w:val="002B24D6"/>
    <w:rsid w:val="002B288C"/>
    <w:rsid w:val="002B31C5"/>
    <w:rsid w:val="002B3294"/>
    <w:rsid w:val="002B35DC"/>
    <w:rsid w:val="002B38EE"/>
    <w:rsid w:val="002B393E"/>
    <w:rsid w:val="002B403E"/>
    <w:rsid w:val="002B4926"/>
    <w:rsid w:val="002B4D60"/>
    <w:rsid w:val="002B5556"/>
    <w:rsid w:val="002B5851"/>
    <w:rsid w:val="002B5D5B"/>
    <w:rsid w:val="002B6AC2"/>
    <w:rsid w:val="002B6EC0"/>
    <w:rsid w:val="002B7518"/>
    <w:rsid w:val="002C03A5"/>
    <w:rsid w:val="002C0ABD"/>
    <w:rsid w:val="002C0AF9"/>
    <w:rsid w:val="002C205B"/>
    <w:rsid w:val="002C41E6"/>
    <w:rsid w:val="002C50EE"/>
    <w:rsid w:val="002C5A84"/>
    <w:rsid w:val="002C5C16"/>
    <w:rsid w:val="002C5D87"/>
    <w:rsid w:val="002C6753"/>
    <w:rsid w:val="002C6827"/>
    <w:rsid w:val="002C76B6"/>
    <w:rsid w:val="002D06FC"/>
    <w:rsid w:val="002D071A"/>
    <w:rsid w:val="002D0778"/>
    <w:rsid w:val="002D161E"/>
    <w:rsid w:val="002D186D"/>
    <w:rsid w:val="002D245A"/>
    <w:rsid w:val="002D24DF"/>
    <w:rsid w:val="002D34B2"/>
    <w:rsid w:val="002D3532"/>
    <w:rsid w:val="002D3764"/>
    <w:rsid w:val="002D3A21"/>
    <w:rsid w:val="002D4568"/>
    <w:rsid w:val="002D48B0"/>
    <w:rsid w:val="002D4BDC"/>
    <w:rsid w:val="002D4C07"/>
    <w:rsid w:val="002D52A5"/>
    <w:rsid w:val="002D5B37"/>
    <w:rsid w:val="002D5D30"/>
    <w:rsid w:val="002D6736"/>
    <w:rsid w:val="002D6845"/>
    <w:rsid w:val="002D690A"/>
    <w:rsid w:val="002D6E0C"/>
    <w:rsid w:val="002D7371"/>
    <w:rsid w:val="002D7637"/>
    <w:rsid w:val="002E0069"/>
    <w:rsid w:val="002E01B6"/>
    <w:rsid w:val="002E04A2"/>
    <w:rsid w:val="002E1119"/>
    <w:rsid w:val="002E1268"/>
    <w:rsid w:val="002E1470"/>
    <w:rsid w:val="002E17F2"/>
    <w:rsid w:val="002E1F12"/>
    <w:rsid w:val="002E207F"/>
    <w:rsid w:val="002E2C73"/>
    <w:rsid w:val="002E2D63"/>
    <w:rsid w:val="002E37F9"/>
    <w:rsid w:val="002E3DBE"/>
    <w:rsid w:val="002E402C"/>
    <w:rsid w:val="002E42E0"/>
    <w:rsid w:val="002E43A7"/>
    <w:rsid w:val="002E51C9"/>
    <w:rsid w:val="002E5D0B"/>
    <w:rsid w:val="002E751A"/>
    <w:rsid w:val="002E7CAE"/>
    <w:rsid w:val="002F13E4"/>
    <w:rsid w:val="002F24FE"/>
    <w:rsid w:val="002F2771"/>
    <w:rsid w:val="002F2AAF"/>
    <w:rsid w:val="002F2ABA"/>
    <w:rsid w:val="002F2C15"/>
    <w:rsid w:val="002F2F93"/>
    <w:rsid w:val="002F303E"/>
    <w:rsid w:val="002F3479"/>
    <w:rsid w:val="002F37A9"/>
    <w:rsid w:val="002F3DD8"/>
    <w:rsid w:val="002F3FB6"/>
    <w:rsid w:val="002F5642"/>
    <w:rsid w:val="002F6526"/>
    <w:rsid w:val="002F7007"/>
    <w:rsid w:val="002F7081"/>
    <w:rsid w:val="002F74F5"/>
    <w:rsid w:val="002F7F8B"/>
    <w:rsid w:val="003005A4"/>
    <w:rsid w:val="0030090C"/>
    <w:rsid w:val="00301904"/>
    <w:rsid w:val="00301AAA"/>
    <w:rsid w:val="00301CE6"/>
    <w:rsid w:val="0030256B"/>
    <w:rsid w:val="00303053"/>
    <w:rsid w:val="0030318C"/>
    <w:rsid w:val="0030324C"/>
    <w:rsid w:val="00303556"/>
    <w:rsid w:val="003036D5"/>
    <w:rsid w:val="003038BB"/>
    <w:rsid w:val="0030501F"/>
    <w:rsid w:val="00305AC8"/>
    <w:rsid w:val="00306428"/>
    <w:rsid w:val="00306782"/>
    <w:rsid w:val="00307215"/>
    <w:rsid w:val="00307AF0"/>
    <w:rsid w:val="00307BA1"/>
    <w:rsid w:val="003109B2"/>
    <w:rsid w:val="003109B6"/>
    <w:rsid w:val="00310D09"/>
    <w:rsid w:val="003111AE"/>
    <w:rsid w:val="003113BC"/>
    <w:rsid w:val="00311702"/>
    <w:rsid w:val="00311E82"/>
    <w:rsid w:val="00311FCD"/>
    <w:rsid w:val="00312433"/>
    <w:rsid w:val="00312599"/>
    <w:rsid w:val="003128B4"/>
    <w:rsid w:val="00313715"/>
    <w:rsid w:val="00313FD6"/>
    <w:rsid w:val="00314121"/>
    <w:rsid w:val="003143BD"/>
    <w:rsid w:val="00314DCF"/>
    <w:rsid w:val="00315243"/>
    <w:rsid w:val="00315363"/>
    <w:rsid w:val="00317962"/>
    <w:rsid w:val="00317E5B"/>
    <w:rsid w:val="003203ED"/>
    <w:rsid w:val="00321460"/>
    <w:rsid w:val="00321D80"/>
    <w:rsid w:val="00321EA3"/>
    <w:rsid w:val="00321EC1"/>
    <w:rsid w:val="00321EFF"/>
    <w:rsid w:val="00322734"/>
    <w:rsid w:val="00322BD3"/>
    <w:rsid w:val="00322C9F"/>
    <w:rsid w:val="003233FA"/>
    <w:rsid w:val="00323CFF"/>
    <w:rsid w:val="003242AA"/>
    <w:rsid w:val="00324899"/>
    <w:rsid w:val="00324D23"/>
    <w:rsid w:val="00324FD1"/>
    <w:rsid w:val="00325688"/>
    <w:rsid w:val="00326132"/>
    <w:rsid w:val="00326D2A"/>
    <w:rsid w:val="00327BC5"/>
    <w:rsid w:val="0033062E"/>
    <w:rsid w:val="00330B66"/>
    <w:rsid w:val="00331540"/>
    <w:rsid w:val="00331751"/>
    <w:rsid w:val="00331DD1"/>
    <w:rsid w:val="00332003"/>
    <w:rsid w:val="0033253A"/>
    <w:rsid w:val="00332671"/>
    <w:rsid w:val="00332B2B"/>
    <w:rsid w:val="00332BE9"/>
    <w:rsid w:val="003338A9"/>
    <w:rsid w:val="00333CE3"/>
    <w:rsid w:val="00333DBC"/>
    <w:rsid w:val="003342ED"/>
    <w:rsid w:val="00334579"/>
    <w:rsid w:val="00334B60"/>
    <w:rsid w:val="003352AB"/>
    <w:rsid w:val="00335858"/>
    <w:rsid w:val="00335C1F"/>
    <w:rsid w:val="00335D9E"/>
    <w:rsid w:val="0033603D"/>
    <w:rsid w:val="00336BDA"/>
    <w:rsid w:val="00336FD3"/>
    <w:rsid w:val="00340259"/>
    <w:rsid w:val="003411F0"/>
    <w:rsid w:val="0034167D"/>
    <w:rsid w:val="00341C89"/>
    <w:rsid w:val="00342664"/>
    <w:rsid w:val="003427B8"/>
    <w:rsid w:val="00342BD7"/>
    <w:rsid w:val="00342D82"/>
    <w:rsid w:val="00342DDF"/>
    <w:rsid w:val="0034324E"/>
    <w:rsid w:val="00343663"/>
    <w:rsid w:val="003442A9"/>
    <w:rsid w:val="0034579D"/>
    <w:rsid w:val="0034596B"/>
    <w:rsid w:val="00345A73"/>
    <w:rsid w:val="003465BB"/>
    <w:rsid w:val="00346DB5"/>
    <w:rsid w:val="003477B1"/>
    <w:rsid w:val="00347FA0"/>
    <w:rsid w:val="00350331"/>
    <w:rsid w:val="0035152E"/>
    <w:rsid w:val="00351C82"/>
    <w:rsid w:val="003524B9"/>
    <w:rsid w:val="003528AD"/>
    <w:rsid w:val="00352CAB"/>
    <w:rsid w:val="00352E66"/>
    <w:rsid w:val="00353CC4"/>
    <w:rsid w:val="00354D3F"/>
    <w:rsid w:val="00355B3F"/>
    <w:rsid w:val="00355E13"/>
    <w:rsid w:val="003568FE"/>
    <w:rsid w:val="00357380"/>
    <w:rsid w:val="0036008B"/>
    <w:rsid w:val="003602D9"/>
    <w:rsid w:val="003604CE"/>
    <w:rsid w:val="00360E16"/>
    <w:rsid w:val="00361184"/>
    <w:rsid w:val="0036226F"/>
    <w:rsid w:val="00362318"/>
    <w:rsid w:val="0036272D"/>
    <w:rsid w:val="0036272F"/>
    <w:rsid w:val="00362971"/>
    <w:rsid w:val="00362BD4"/>
    <w:rsid w:val="00363524"/>
    <w:rsid w:val="00363AE0"/>
    <w:rsid w:val="00364B8B"/>
    <w:rsid w:val="00364DE4"/>
    <w:rsid w:val="00364EC2"/>
    <w:rsid w:val="00365585"/>
    <w:rsid w:val="00365747"/>
    <w:rsid w:val="00365F66"/>
    <w:rsid w:val="0036717A"/>
    <w:rsid w:val="00367CB8"/>
    <w:rsid w:val="00370227"/>
    <w:rsid w:val="003706C6"/>
    <w:rsid w:val="00370B0B"/>
    <w:rsid w:val="00370E47"/>
    <w:rsid w:val="00370F54"/>
    <w:rsid w:val="003710CA"/>
    <w:rsid w:val="0037162A"/>
    <w:rsid w:val="003718EC"/>
    <w:rsid w:val="00372175"/>
    <w:rsid w:val="00372386"/>
    <w:rsid w:val="00372537"/>
    <w:rsid w:val="00373C80"/>
    <w:rsid w:val="003742AC"/>
    <w:rsid w:val="0037474B"/>
    <w:rsid w:val="00375155"/>
    <w:rsid w:val="0037527C"/>
    <w:rsid w:val="003754A8"/>
    <w:rsid w:val="0037589F"/>
    <w:rsid w:val="00377CE1"/>
    <w:rsid w:val="003806CC"/>
    <w:rsid w:val="00380AF6"/>
    <w:rsid w:val="003812C2"/>
    <w:rsid w:val="00381673"/>
    <w:rsid w:val="00381AC5"/>
    <w:rsid w:val="00381ED3"/>
    <w:rsid w:val="00382000"/>
    <w:rsid w:val="00382194"/>
    <w:rsid w:val="003838A7"/>
    <w:rsid w:val="00384818"/>
    <w:rsid w:val="00384E39"/>
    <w:rsid w:val="00385361"/>
    <w:rsid w:val="00385493"/>
    <w:rsid w:val="00385950"/>
    <w:rsid w:val="00385BF0"/>
    <w:rsid w:val="00387C79"/>
    <w:rsid w:val="003903DE"/>
    <w:rsid w:val="00390613"/>
    <w:rsid w:val="00390AC5"/>
    <w:rsid w:val="00390B68"/>
    <w:rsid w:val="00391500"/>
    <w:rsid w:val="00391718"/>
    <w:rsid w:val="00392DD8"/>
    <w:rsid w:val="003939FF"/>
    <w:rsid w:val="00393A6D"/>
    <w:rsid w:val="003948E0"/>
    <w:rsid w:val="00394ACC"/>
    <w:rsid w:val="0039641F"/>
    <w:rsid w:val="00397250"/>
    <w:rsid w:val="0039742D"/>
    <w:rsid w:val="00397955"/>
    <w:rsid w:val="00397B2D"/>
    <w:rsid w:val="00397DDB"/>
    <w:rsid w:val="003A040D"/>
    <w:rsid w:val="003A1166"/>
    <w:rsid w:val="003A1C85"/>
    <w:rsid w:val="003A1E05"/>
    <w:rsid w:val="003A2223"/>
    <w:rsid w:val="003A2359"/>
    <w:rsid w:val="003A2A0F"/>
    <w:rsid w:val="003A31BC"/>
    <w:rsid w:val="003A4345"/>
    <w:rsid w:val="003A45A1"/>
    <w:rsid w:val="003A4715"/>
    <w:rsid w:val="003A4729"/>
    <w:rsid w:val="003A5B0A"/>
    <w:rsid w:val="003A68D2"/>
    <w:rsid w:val="003A6BAC"/>
    <w:rsid w:val="003A6CEB"/>
    <w:rsid w:val="003A6D6E"/>
    <w:rsid w:val="003A6DE1"/>
    <w:rsid w:val="003A70A4"/>
    <w:rsid w:val="003A73A2"/>
    <w:rsid w:val="003A7724"/>
    <w:rsid w:val="003A7EF3"/>
    <w:rsid w:val="003B0FB1"/>
    <w:rsid w:val="003B1581"/>
    <w:rsid w:val="003B159C"/>
    <w:rsid w:val="003B369F"/>
    <w:rsid w:val="003B36A3"/>
    <w:rsid w:val="003B390B"/>
    <w:rsid w:val="003B59BA"/>
    <w:rsid w:val="003B64BB"/>
    <w:rsid w:val="003B6CDC"/>
    <w:rsid w:val="003B7428"/>
    <w:rsid w:val="003B790D"/>
    <w:rsid w:val="003B7FE5"/>
    <w:rsid w:val="003C0104"/>
    <w:rsid w:val="003C0409"/>
    <w:rsid w:val="003C062E"/>
    <w:rsid w:val="003C11C8"/>
    <w:rsid w:val="003C2702"/>
    <w:rsid w:val="003C28FF"/>
    <w:rsid w:val="003C665E"/>
    <w:rsid w:val="003C6ED5"/>
    <w:rsid w:val="003C70A9"/>
    <w:rsid w:val="003C7806"/>
    <w:rsid w:val="003C7860"/>
    <w:rsid w:val="003C7C1E"/>
    <w:rsid w:val="003D0578"/>
    <w:rsid w:val="003D0795"/>
    <w:rsid w:val="003D109F"/>
    <w:rsid w:val="003D12DF"/>
    <w:rsid w:val="003D2478"/>
    <w:rsid w:val="003D31B3"/>
    <w:rsid w:val="003D329B"/>
    <w:rsid w:val="003D3C45"/>
    <w:rsid w:val="003D41AC"/>
    <w:rsid w:val="003D4848"/>
    <w:rsid w:val="003D48EF"/>
    <w:rsid w:val="003D4C7C"/>
    <w:rsid w:val="003D5B1F"/>
    <w:rsid w:val="003D5DA8"/>
    <w:rsid w:val="003D63B5"/>
    <w:rsid w:val="003D6E32"/>
    <w:rsid w:val="003D7FD4"/>
    <w:rsid w:val="003E15B0"/>
    <w:rsid w:val="003E15FA"/>
    <w:rsid w:val="003E2EE0"/>
    <w:rsid w:val="003E327D"/>
    <w:rsid w:val="003E32E7"/>
    <w:rsid w:val="003E3582"/>
    <w:rsid w:val="003E3DA9"/>
    <w:rsid w:val="003E3FEE"/>
    <w:rsid w:val="003E448C"/>
    <w:rsid w:val="003E4E7B"/>
    <w:rsid w:val="003E55A1"/>
    <w:rsid w:val="003E55E4"/>
    <w:rsid w:val="003E5D5C"/>
    <w:rsid w:val="003E670B"/>
    <w:rsid w:val="003E6A03"/>
    <w:rsid w:val="003E6B14"/>
    <w:rsid w:val="003E74E3"/>
    <w:rsid w:val="003E7654"/>
    <w:rsid w:val="003F0230"/>
    <w:rsid w:val="003F05C7"/>
    <w:rsid w:val="003F1316"/>
    <w:rsid w:val="003F14AB"/>
    <w:rsid w:val="003F2CD4"/>
    <w:rsid w:val="003F30DB"/>
    <w:rsid w:val="003F3A9B"/>
    <w:rsid w:val="003F45B0"/>
    <w:rsid w:val="003F4E50"/>
    <w:rsid w:val="003F5F19"/>
    <w:rsid w:val="003F6B06"/>
    <w:rsid w:val="003F6BBE"/>
    <w:rsid w:val="003F741D"/>
    <w:rsid w:val="004000E8"/>
    <w:rsid w:val="004004AC"/>
    <w:rsid w:val="004005C0"/>
    <w:rsid w:val="00400678"/>
    <w:rsid w:val="0040121D"/>
    <w:rsid w:val="0040122C"/>
    <w:rsid w:val="004022A3"/>
    <w:rsid w:val="004026DF"/>
    <w:rsid w:val="00402E2B"/>
    <w:rsid w:val="004034AD"/>
    <w:rsid w:val="0040394D"/>
    <w:rsid w:val="004041F9"/>
    <w:rsid w:val="00404BA1"/>
    <w:rsid w:val="0040512B"/>
    <w:rsid w:val="00405BF7"/>
    <w:rsid w:val="00405CA5"/>
    <w:rsid w:val="00405D63"/>
    <w:rsid w:val="004061FE"/>
    <w:rsid w:val="004062DD"/>
    <w:rsid w:val="0040659F"/>
    <w:rsid w:val="00406611"/>
    <w:rsid w:val="00406FC7"/>
    <w:rsid w:val="004070CE"/>
    <w:rsid w:val="004072C6"/>
    <w:rsid w:val="00407CD3"/>
    <w:rsid w:val="00407F0D"/>
    <w:rsid w:val="00410134"/>
    <w:rsid w:val="00410240"/>
    <w:rsid w:val="00410314"/>
    <w:rsid w:val="00410AE8"/>
    <w:rsid w:val="00410B0C"/>
    <w:rsid w:val="00410B72"/>
    <w:rsid w:val="00410D75"/>
    <w:rsid w:val="00410DA6"/>
    <w:rsid w:val="00410E9B"/>
    <w:rsid w:val="00410F18"/>
    <w:rsid w:val="00411241"/>
    <w:rsid w:val="0041207F"/>
    <w:rsid w:val="00412118"/>
    <w:rsid w:val="004123BE"/>
    <w:rsid w:val="0041263E"/>
    <w:rsid w:val="00413600"/>
    <w:rsid w:val="0041374B"/>
    <w:rsid w:val="00413AAC"/>
    <w:rsid w:val="00413E92"/>
    <w:rsid w:val="00414941"/>
    <w:rsid w:val="004149AB"/>
    <w:rsid w:val="004154F8"/>
    <w:rsid w:val="00415A9E"/>
    <w:rsid w:val="0041615F"/>
    <w:rsid w:val="00416C29"/>
    <w:rsid w:val="00417593"/>
    <w:rsid w:val="00421105"/>
    <w:rsid w:val="00421274"/>
    <w:rsid w:val="00422013"/>
    <w:rsid w:val="004228A8"/>
    <w:rsid w:val="00422AA4"/>
    <w:rsid w:val="00422E6C"/>
    <w:rsid w:val="004237E2"/>
    <w:rsid w:val="004239C4"/>
    <w:rsid w:val="004240FD"/>
    <w:rsid w:val="004241EE"/>
    <w:rsid w:val="004242F4"/>
    <w:rsid w:val="004252C5"/>
    <w:rsid w:val="00425CCD"/>
    <w:rsid w:val="00425D71"/>
    <w:rsid w:val="0042628E"/>
    <w:rsid w:val="00426406"/>
    <w:rsid w:val="00426586"/>
    <w:rsid w:val="0042686F"/>
    <w:rsid w:val="004268F8"/>
    <w:rsid w:val="004269A4"/>
    <w:rsid w:val="00427248"/>
    <w:rsid w:val="00427CC1"/>
    <w:rsid w:val="00430AD5"/>
    <w:rsid w:val="00430BC8"/>
    <w:rsid w:val="00430C3D"/>
    <w:rsid w:val="00431932"/>
    <w:rsid w:val="00432529"/>
    <w:rsid w:val="00432E49"/>
    <w:rsid w:val="00433FA8"/>
    <w:rsid w:val="00434DEB"/>
    <w:rsid w:val="00435094"/>
    <w:rsid w:val="00435112"/>
    <w:rsid w:val="00436DEA"/>
    <w:rsid w:val="00436F1D"/>
    <w:rsid w:val="0043703D"/>
    <w:rsid w:val="00437447"/>
    <w:rsid w:val="00440085"/>
    <w:rsid w:val="00440421"/>
    <w:rsid w:val="00440501"/>
    <w:rsid w:val="00440B81"/>
    <w:rsid w:val="00440BE6"/>
    <w:rsid w:val="00441A81"/>
    <w:rsid w:val="00441A92"/>
    <w:rsid w:val="004431DC"/>
    <w:rsid w:val="00443FAF"/>
    <w:rsid w:val="00443FC0"/>
    <w:rsid w:val="00444F56"/>
    <w:rsid w:val="004450D9"/>
    <w:rsid w:val="0044561B"/>
    <w:rsid w:val="00445686"/>
    <w:rsid w:val="00445F12"/>
    <w:rsid w:val="0044620F"/>
    <w:rsid w:val="00446488"/>
    <w:rsid w:val="004471D5"/>
    <w:rsid w:val="004476EF"/>
    <w:rsid w:val="00447A6A"/>
    <w:rsid w:val="00450524"/>
    <w:rsid w:val="004515CF"/>
    <w:rsid w:val="00451699"/>
    <w:rsid w:val="004517AA"/>
    <w:rsid w:val="00451B6E"/>
    <w:rsid w:val="004523DC"/>
    <w:rsid w:val="004528AF"/>
    <w:rsid w:val="00452912"/>
    <w:rsid w:val="00452954"/>
    <w:rsid w:val="00452CAC"/>
    <w:rsid w:val="00452CE5"/>
    <w:rsid w:val="00453C52"/>
    <w:rsid w:val="00453EC5"/>
    <w:rsid w:val="004553FE"/>
    <w:rsid w:val="0045591C"/>
    <w:rsid w:val="00455FA1"/>
    <w:rsid w:val="00456EBC"/>
    <w:rsid w:val="00457565"/>
    <w:rsid w:val="00457621"/>
    <w:rsid w:val="0045767D"/>
    <w:rsid w:val="004578B0"/>
    <w:rsid w:val="00457B71"/>
    <w:rsid w:val="00460044"/>
    <w:rsid w:val="0046019F"/>
    <w:rsid w:val="00460824"/>
    <w:rsid w:val="00461C91"/>
    <w:rsid w:val="00463079"/>
    <w:rsid w:val="00464689"/>
    <w:rsid w:val="0046475F"/>
    <w:rsid w:val="004647AE"/>
    <w:rsid w:val="00464CAE"/>
    <w:rsid w:val="00464D05"/>
    <w:rsid w:val="00465C02"/>
    <w:rsid w:val="004669E2"/>
    <w:rsid w:val="00466CE3"/>
    <w:rsid w:val="00470243"/>
    <w:rsid w:val="0047026F"/>
    <w:rsid w:val="004703F9"/>
    <w:rsid w:val="004706F8"/>
    <w:rsid w:val="00470AB2"/>
    <w:rsid w:val="00470C31"/>
    <w:rsid w:val="00470FD5"/>
    <w:rsid w:val="00471DC9"/>
    <w:rsid w:val="00471DE0"/>
    <w:rsid w:val="00471F2C"/>
    <w:rsid w:val="00472123"/>
    <w:rsid w:val="00472EFE"/>
    <w:rsid w:val="00473475"/>
    <w:rsid w:val="004734D0"/>
    <w:rsid w:val="00473E1B"/>
    <w:rsid w:val="00473E49"/>
    <w:rsid w:val="00473ED9"/>
    <w:rsid w:val="0047495E"/>
    <w:rsid w:val="00474F8C"/>
    <w:rsid w:val="0047520A"/>
    <w:rsid w:val="004753EC"/>
    <w:rsid w:val="0047556B"/>
    <w:rsid w:val="00476563"/>
    <w:rsid w:val="004771F2"/>
    <w:rsid w:val="00477768"/>
    <w:rsid w:val="0048267A"/>
    <w:rsid w:val="0048315F"/>
    <w:rsid w:val="00483856"/>
    <w:rsid w:val="00483919"/>
    <w:rsid w:val="00483F0C"/>
    <w:rsid w:val="00484D2A"/>
    <w:rsid w:val="00485C07"/>
    <w:rsid w:val="0048675C"/>
    <w:rsid w:val="00486A45"/>
    <w:rsid w:val="004870D5"/>
    <w:rsid w:val="0048719A"/>
    <w:rsid w:val="00487572"/>
    <w:rsid w:val="004878F1"/>
    <w:rsid w:val="00487BE6"/>
    <w:rsid w:val="00487D0B"/>
    <w:rsid w:val="004907B8"/>
    <w:rsid w:val="00491D0A"/>
    <w:rsid w:val="00492966"/>
    <w:rsid w:val="00492BC5"/>
    <w:rsid w:val="00492C9C"/>
    <w:rsid w:val="004933DF"/>
    <w:rsid w:val="00493F60"/>
    <w:rsid w:val="00494FA2"/>
    <w:rsid w:val="0049576A"/>
    <w:rsid w:val="00495EF3"/>
    <w:rsid w:val="004964F1"/>
    <w:rsid w:val="00496877"/>
    <w:rsid w:val="00496CF1"/>
    <w:rsid w:val="00497190"/>
    <w:rsid w:val="00497440"/>
    <w:rsid w:val="004A0C0E"/>
    <w:rsid w:val="004A0E30"/>
    <w:rsid w:val="004A16BC"/>
    <w:rsid w:val="004A210D"/>
    <w:rsid w:val="004A227A"/>
    <w:rsid w:val="004A2B94"/>
    <w:rsid w:val="004A4BCC"/>
    <w:rsid w:val="004A5297"/>
    <w:rsid w:val="004A6C1F"/>
    <w:rsid w:val="004A71D9"/>
    <w:rsid w:val="004A7D74"/>
    <w:rsid w:val="004B0BAC"/>
    <w:rsid w:val="004B0D9C"/>
    <w:rsid w:val="004B1149"/>
    <w:rsid w:val="004B1404"/>
    <w:rsid w:val="004B1F79"/>
    <w:rsid w:val="004B253C"/>
    <w:rsid w:val="004B2647"/>
    <w:rsid w:val="004B2D94"/>
    <w:rsid w:val="004B30C8"/>
    <w:rsid w:val="004B333E"/>
    <w:rsid w:val="004B4898"/>
    <w:rsid w:val="004B4C7B"/>
    <w:rsid w:val="004B5308"/>
    <w:rsid w:val="004B6EA1"/>
    <w:rsid w:val="004B6EAE"/>
    <w:rsid w:val="004B6F6A"/>
    <w:rsid w:val="004B7145"/>
    <w:rsid w:val="004B76DB"/>
    <w:rsid w:val="004B7C0C"/>
    <w:rsid w:val="004C0417"/>
    <w:rsid w:val="004C052C"/>
    <w:rsid w:val="004C08A6"/>
    <w:rsid w:val="004C10E2"/>
    <w:rsid w:val="004C133B"/>
    <w:rsid w:val="004C1688"/>
    <w:rsid w:val="004C1DED"/>
    <w:rsid w:val="004C1EBB"/>
    <w:rsid w:val="004C24F2"/>
    <w:rsid w:val="004C25C6"/>
    <w:rsid w:val="004C2993"/>
    <w:rsid w:val="004C3898"/>
    <w:rsid w:val="004C3C1F"/>
    <w:rsid w:val="004C4B34"/>
    <w:rsid w:val="004C4B7A"/>
    <w:rsid w:val="004C4F94"/>
    <w:rsid w:val="004C534E"/>
    <w:rsid w:val="004C7118"/>
    <w:rsid w:val="004C7BF2"/>
    <w:rsid w:val="004D0CF2"/>
    <w:rsid w:val="004D1483"/>
    <w:rsid w:val="004D1910"/>
    <w:rsid w:val="004D1EBF"/>
    <w:rsid w:val="004D25B0"/>
    <w:rsid w:val="004D3529"/>
    <w:rsid w:val="004D36B1"/>
    <w:rsid w:val="004D3C59"/>
    <w:rsid w:val="004D491D"/>
    <w:rsid w:val="004D4B36"/>
    <w:rsid w:val="004D51EE"/>
    <w:rsid w:val="004D5E9E"/>
    <w:rsid w:val="004D6A8A"/>
    <w:rsid w:val="004D6CF1"/>
    <w:rsid w:val="004D75CF"/>
    <w:rsid w:val="004D7EBD"/>
    <w:rsid w:val="004E040D"/>
    <w:rsid w:val="004E0644"/>
    <w:rsid w:val="004E0B33"/>
    <w:rsid w:val="004E110C"/>
    <w:rsid w:val="004E256C"/>
    <w:rsid w:val="004E2680"/>
    <w:rsid w:val="004E283D"/>
    <w:rsid w:val="004E28F9"/>
    <w:rsid w:val="004E31E8"/>
    <w:rsid w:val="004E39CB"/>
    <w:rsid w:val="004E3A9A"/>
    <w:rsid w:val="004E462E"/>
    <w:rsid w:val="004E4955"/>
    <w:rsid w:val="004E4E35"/>
    <w:rsid w:val="004E56DC"/>
    <w:rsid w:val="004E595E"/>
    <w:rsid w:val="004E5F28"/>
    <w:rsid w:val="004E6969"/>
    <w:rsid w:val="004E76F4"/>
    <w:rsid w:val="004F02F9"/>
    <w:rsid w:val="004F07B9"/>
    <w:rsid w:val="004F0B4E"/>
    <w:rsid w:val="004F0B6C"/>
    <w:rsid w:val="004F0F55"/>
    <w:rsid w:val="004F12FD"/>
    <w:rsid w:val="004F1C1D"/>
    <w:rsid w:val="004F2078"/>
    <w:rsid w:val="004F20AE"/>
    <w:rsid w:val="004F26AB"/>
    <w:rsid w:val="004F278C"/>
    <w:rsid w:val="004F3BD3"/>
    <w:rsid w:val="004F3C5C"/>
    <w:rsid w:val="004F3ED3"/>
    <w:rsid w:val="004F4497"/>
    <w:rsid w:val="004F44B6"/>
    <w:rsid w:val="004F4D71"/>
    <w:rsid w:val="004F4DA3"/>
    <w:rsid w:val="004F5111"/>
    <w:rsid w:val="004F6235"/>
    <w:rsid w:val="004F67EF"/>
    <w:rsid w:val="004F70DC"/>
    <w:rsid w:val="004F735C"/>
    <w:rsid w:val="004F7F4F"/>
    <w:rsid w:val="005008F7"/>
    <w:rsid w:val="00501240"/>
    <w:rsid w:val="005016B4"/>
    <w:rsid w:val="005017FC"/>
    <w:rsid w:val="0050182C"/>
    <w:rsid w:val="00502AF3"/>
    <w:rsid w:val="0050314A"/>
    <w:rsid w:val="00503227"/>
    <w:rsid w:val="00503500"/>
    <w:rsid w:val="00504534"/>
    <w:rsid w:val="00504F89"/>
    <w:rsid w:val="00505142"/>
    <w:rsid w:val="00506557"/>
    <w:rsid w:val="0050677A"/>
    <w:rsid w:val="0050686D"/>
    <w:rsid w:val="0050728D"/>
    <w:rsid w:val="00510597"/>
    <w:rsid w:val="005108D8"/>
    <w:rsid w:val="00510A8F"/>
    <w:rsid w:val="00510CDF"/>
    <w:rsid w:val="00511000"/>
    <w:rsid w:val="005116F9"/>
    <w:rsid w:val="005119CB"/>
    <w:rsid w:val="005122A7"/>
    <w:rsid w:val="005123E3"/>
    <w:rsid w:val="00512405"/>
    <w:rsid w:val="005147DA"/>
    <w:rsid w:val="00514CB1"/>
    <w:rsid w:val="005152A2"/>
    <w:rsid w:val="005153A7"/>
    <w:rsid w:val="005157D3"/>
    <w:rsid w:val="00515C89"/>
    <w:rsid w:val="0051749C"/>
    <w:rsid w:val="00517B98"/>
    <w:rsid w:val="005202C2"/>
    <w:rsid w:val="00520D96"/>
    <w:rsid w:val="005212BF"/>
    <w:rsid w:val="00521441"/>
    <w:rsid w:val="0052185F"/>
    <w:rsid w:val="005219AE"/>
    <w:rsid w:val="005219CF"/>
    <w:rsid w:val="0052203F"/>
    <w:rsid w:val="005224BD"/>
    <w:rsid w:val="00523709"/>
    <w:rsid w:val="0052410F"/>
    <w:rsid w:val="00525779"/>
    <w:rsid w:val="00525934"/>
    <w:rsid w:val="00526EC0"/>
    <w:rsid w:val="005273DA"/>
    <w:rsid w:val="005274FA"/>
    <w:rsid w:val="00530262"/>
    <w:rsid w:val="0053083C"/>
    <w:rsid w:val="00530AA3"/>
    <w:rsid w:val="00531577"/>
    <w:rsid w:val="00532427"/>
    <w:rsid w:val="005326DD"/>
    <w:rsid w:val="0053270D"/>
    <w:rsid w:val="00532872"/>
    <w:rsid w:val="00532BD4"/>
    <w:rsid w:val="00533F34"/>
    <w:rsid w:val="00534B59"/>
    <w:rsid w:val="00534B98"/>
    <w:rsid w:val="00534BD6"/>
    <w:rsid w:val="00534D46"/>
    <w:rsid w:val="005351CD"/>
    <w:rsid w:val="00536245"/>
    <w:rsid w:val="00536744"/>
    <w:rsid w:val="00536759"/>
    <w:rsid w:val="005367A2"/>
    <w:rsid w:val="00536B28"/>
    <w:rsid w:val="005370AD"/>
    <w:rsid w:val="005376FA"/>
    <w:rsid w:val="0053771D"/>
    <w:rsid w:val="00537C62"/>
    <w:rsid w:val="005407CE"/>
    <w:rsid w:val="00541508"/>
    <w:rsid w:val="00541566"/>
    <w:rsid w:val="00541B9F"/>
    <w:rsid w:val="00541F2E"/>
    <w:rsid w:val="00542594"/>
    <w:rsid w:val="00542B2A"/>
    <w:rsid w:val="00542F04"/>
    <w:rsid w:val="005437FB"/>
    <w:rsid w:val="00543F53"/>
    <w:rsid w:val="005449F5"/>
    <w:rsid w:val="00544FA4"/>
    <w:rsid w:val="005452BC"/>
    <w:rsid w:val="00545CF4"/>
    <w:rsid w:val="005460AE"/>
    <w:rsid w:val="00546970"/>
    <w:rsid w:val="00546F50"/>
    <w:rsid w:val="00546FDA"/>
    <w:rsid w:val="0054733C"/>
    <w:rsid w:val="00547373"/>
    <w:rsid w:val="00547518"/>
    <w:rsid w:val="00547797"/>
    <w:rsid w:val="00547886"/>
    <w:rsid w:val="00547CCC"/>
    <w:rsid w:val="00550132"/>
    <w:rsid w:val="0055062B"/>
    <w:rsid w:val="00550C3E"/>
    <w:rsid w:val="00550DB3"/>
    <w:rsid w:val="005515A7"/>
    <w:rsid w:val="00552A90"/>
    <w:rsid w:val="00552D95"/>
    <w:rsid w:val="00553529"/>
    <w:rsid w:val="00553706"/>
    <w:rsid w:val="00554A17"/>
    <w:rsid w:val="00554E19"/>
    <w:rsid w:val="005553E1"/>
    <w:rsid w:val="00555490"/>
    <w:rsid w:val="0055673F"/>
    <w:rsid w:val="00557331"/>
    <w:rsid w:val="005573EA"/>
    <w:rsid w:val="00557804"/>
    <w:rsid w:val="00560406"/>
    <w:rsid w:val="0056121F"/>
    <w:rsid w:val="005616A2"/>
    <w:rsid w:val="00561B50"/>
    <w:rsid w:val="00561BCB"/>
    <w:rsid w:val="0056224F"/>
    <w:rsid w:val="00562800"/>
    <w:rsid w:val="00562B10"/>
    <w:rsid w:val="00562E41"/>
    <w:rsid w:val="00563786"/>
    <w:rsid w:val="00563C25"/>
    <w:rsid w:val="00565223"/>
    <w:rsid w:val="00565527"/>
    <w:rsid w:val="00565D4F"/>
    <w:rsid w:val="00566018"/>
    <w:rsid w:val="00566813"/>
    <w:rsid w:val="00566BDE"/>
    <w:rsid w:val="0056724A"/>
    <w:rsid w:val="00567DFA"/>
    <w:rsid w:val="00567FA3"/>
    <w:rsid w:val="00567FE4"/>
    <w:rsid w:val="00570FF4"/>
    <w:rsid w:val="005719AD"/>
    <w:rsid w:val="00571E03"/>
    <w:rsid w:val="00572505"/>
    <w:rsid w:val="005726C4"/>
    <w:rsid w:val="00572AE1"/>
    <w:rsid w:val="00572C3F"/>
    <w:rsid w:val="005745EF"/>
    <w:rsid w:val="00574703"/>
    <w:rsid w:val="00574B67"/>
    <w:rsid w:val="00575942"/>
    <w:rsid w:val="005765E0"/>
    <w:rsid w:val="00576BA0"/>
    <w:rsid w:val="00577019"/>
    <w:rsid w:val="00580D1D"/>
    <w:rsid w:val="005814FF"/>
    <w:rsid w:val="00582809"/>
    <w:rsid w:val="005829ED"/>
    <w:rsid w:val="00582FFB"/>
    <w:rsid w:val="00583172"/>
    <w:rsid w:val="00584718"/>
    <w:rsid w:val="00584CFE"/>
    <w:rsid w:val="00585A1F"/>
    <w:rsid w:val="00585E02"/>
    <w:rsid w:val="005862C7"/>
    <w:rsid w:val="005865B4"/>
    <w:rsid w:val="005866F5"/>
    <w:rsid w:val="0058677B"/>
    <w:rsid w:val="0058685C"/>
    <w:rsid w:val="00586A24"/>
    <w:rsid w:val="0058798C"/>
    <w:rsid w:val="00587E4E"/>
    <w:rsid w:val="005900FA"/>
    <w:rsid w:val="00590760"/>
    <w:rsid w:val="00590820"/>
    <w:rsid w:val="005917C2"/>
    <w:rsid w:val="0059202E"/>
    <w:rsid w:val="0059258A"/>
    <w:rsid w:val="00592A42"/>
    <w:rsid w:val="00592B19"/>
    <w:rsid w:val="005930C4"/>
    <w:rsid w:val="005935A4"/>
    <w:rsid w:val="00593727"/>
    <w:rsid w:val="005939E9"/>
    <w:rsid w:val="0059484C"/>
    <w:rsid w:val="005948C2"/>
    <w:rsid w:val="00594AC3"/>
    <w:rsid w:val="0059535E"/>
    <w:rsid w:val="005959EC"/>
    <w:rsid w:val="00595DCA"/>
    <w:rsid w:val="00596529"/>
    <w:rsid w:val="0059689C"/>
    <w:rsid w:val="00596A0E"/>
    <w:rsid w:val="00596B80"/>
    <w:rsid w:val="0059779B"/>
    <w:rsid w:val="00597BD0"/>
    <w:rsid w:val="005A0159"/>
    <w:rsid w:val="005A0778"/>
    <w:rsid w:val="005A0A23"/>
    <w:rsid w:val="005A18E3"/>
    <w:rsid w:val="005A1D4E"/>
    <w:rsid w:val="005A209A"/>
    <w:rsid w:val="005A29A6"/>
    <w:rsid w:val="005A2D36"/>
    <w:rsid w:val="005A2FB5"/>
    <w:rsid w:val="005A37FA"/>
    <w:rsid w:val="005A38D6"/>
    <w:rsid w:val="005A3A15"/>
    <w:rsid w:val="005A3EC6"/>
    <w:rsid w:val="005A55A4"/>
    <w:rsid w:val="005A5784"/>
    <w:rsid w:val="005A5ACF"/>
    <w:rsid w:val="005A662D"/>
    <w:rsid w:val="005A681F"/>
    <w:rsid w:val="005A6882"/>
    <w:rsid w:val="005A6F38"/>
    <w:rsid w:val="005A71FE"/>
    <w:rsid w:val="005A7499"/>
    <w:rsid w:val="005A7704"/>
    <w:rsid w:val="005A7793"/>
    <w:rsid w:val="005A7ECE"/>
    <w:rsid w:val="005B0190"/>
    <w:rsid w:val="005B05B0"/>
    <w:rsid w:val="005B0BE6"/>
    <w:rsid w:val="005B0EC6"/>
    <w:rsid w:val="005B1409"/>
    <w:rsid w:val="005B1438"/>
    <w:rsid w:val="005B1A3D"/>
    <w:rsid w:val="005B1B62"/>
    <w:rsid w:val="005B22B0"/>
    <w:rsid w:val="005B2F14"/>
    <w:rsid w:val="005B3328"/>
    <w:rsid w:val="005B336B"/>
    <w:rsid w:val="005B35D7"/>
    <w:rsid w:val="005B392A"/>
    <w:rsid w:val="005B3AA3"/>
    <w:rsid w:val="005B530E"/>
    <w:rsid w:val="005B55A4"/>
    <w:rsid w:val="005B5C0D"/>
    <w:rsid w:val="005B5FBF"/>
    <w:rsid w:val="005B6063"/>
    <w:rsid w:val="005B6F83"/>
    <w:rsid w:val="005B71BF"/>
    <w:rsid w:val="005B728E"/>
    <w:rsid w:val="005B737C"/>
    <w:rsid w:val="005B7FCD"/>
    <w:rsid w:val="005C03E2"/>
    <w:rsid w:val="005C0769"/>
    <w:rsid w:val="005C0CE4"/>
    <w:rsid w:val="005C1832"/>
    <w:rsid w:val="005C217F"/>
    <w:rsid w:val="005C35A8"/>
    <w:rsid w:val="005C379A"/>
    <w:rsid w:val="005C3E8C"/>
    <w:rsid w:val="005C4751"/>
    <w:rsid w:val="005C4A24"/>
    <w:rsid w:val="005C4C20"/>
    <w:rsid w:val="005C5392"/>
    <w:rsid w:val="005C5D80"/>
    <w:rsid w:val="005C616D"/>
    <w:rsid w:val="005C64C2"/>
    <w:rsid w:val="005C6CCD"/>
    <w:rsid w:val="005C6E8F"/>
    <w:rsid w:val="005C707F"/>
    <w:rsid w:val="005C74FB"/>
    <w:rsid w:val="005D0D5F"/>
    <w:rsid w:val="005D1602"/>
    <w:rsid w:val="005D17CD"/>
    <w:rsid w:val="005D1AFA"/>
    <w:rsid w:val="005D2C19"/>
    <w:rsid w:val="005D34E0"/>
    <w:rsid w:val="005D3ADC"/>
    <w:rsid w:val="005D3CD8"/>
    <w:rsid w:val="005D3D5D"/>
    <w:rsid w:val="005D4032"/>
    <w:rsid w:val="005D4A61"/>
    <w:rsid w:val="005D4B18"/>
    <w:rsid w:val="005D4B3F"/>
    <w:rsid w:val="005D5098"/>
    <w:rsid w:val="005D57D3"/>
    <w:rsid w:val="005D6E7F"/>
    <w:rsid w:val="005D7C3C"/>
    <w:rsid w:val="005D7E27"/>
    <w:rsid w:val="005E033C"/>
    <w:rsid w:val="005E123C"/>
    <w:rsid w:val="005E1430"/>
    <w:rsid w:val="005E27A5"/>
    <w:rsid w:val="005E2F39"/>
    <w:rsid w:val="005E315A"/>
    <w:rsid w:val="005E385F"/>
    <w:rsid w:val="005E397B"/>
    <w:rsid w:val="005E4BDA"/>
    <w:rsid w:val="005E52CB"/>
    <w:rsid w:val="005E53F4"/>
    <w:rsid w:val="005E557E"/>
    <w:rsid w:val="005E5791"/>
    <w:rsid w:val="005E5B81"/>
    <w:rsid w:val="005E5B8E"/>
    <w:rsid w:val="005E6C81"/>
    <w:rsid w:val="005E7659"/>
    <w:rsid w:val="005F01A8"/>
    <w:rsid w:val="005F0DDB"/>
    <w:rsid w:val="005F11C8"/>
    <w:rsid w:val="005F15DC"/>
    <w:rsid w:val="005F1A0A"/>
    <w:rsid w:val="005F1F93"/>
    <w:rsid w:val="005F229E"/>
    <w:rsid w:val="005F2CB1"/>
    <w:rsid w:val="005F3025"/>
    <w:rsid w:val="005F3472"/>
    <w:rsid w:val="005F3794"/>
    <w:rsid w:val="005F38BF"/>
    <w:rsid w:val="005F3DC9"/>
    <w:rsid w:val="005F484F"/>
    <w:rsid w:val="005F4A44"/>
    <w:rsid w:val="005F618C"/>
    <w:rsid w:val="005F62DD"/>
    <w:rsid w:val="005F6318"/>
    <w:rsid w:val="005F6716"/>
    <w:rsid w:val="005F70BD"/>
    <w:rsid w:val="005F75DB"/>
    <w:rsid w:val="005F7C30"/>
    <w:rsid w:val="006001F9"/>
    <w:rsid w:val="0060047B"/>
    <w:rsid w:val="00600F25"/>
    <w:rsid w:val="00601718"/>
    <w:rsid w:val="00601F90"/>
    <w:rsid w:val="006025AD"/>
    <w:rsid w:val="006025DA"/>
    <w:rsid w:val="0060283C"/>
    <w:rsid w:val="00602C2B"/>
    <w:rsid w:val="00603942"/>
    <w:rsid w:val="00604565"/>
    <w:rsid w:val="0060468F"/>
    <w:rsid w:val="00604C7E"/>
    <w:rsid w:val="00604F14"/>
    <w:rsid w:val="006061D1"/>
    <w:rsid w:val="006065E8"/>
    <w:rsid w:val="0060780F"/>
    <w:rsid w:val="00607F0A"/>
    <w:rsid w:val="006100F1"/>
    <w:rsid w:val="006103F1"/>
    <w:rsid w:val="00611026"/>
    <w:rsid w:val="006110F3"/>
    <w:rsid w:val="006117BA"/>
    <w:rsid w:val="00611B83"/>
    <w:rsid w:val="0061219E"/>
    <w:rsid w:val="0061239F"/>
    <w:rsid w:val="006128DD"/>
    <w:rsid w:val="00613257"/>
    <w:rsid w:val="00613A3B"/>
    <w:rsid w:val="0061414F"/>
    <w:rsid w:val="0061443A"/>
    <w:rsid w:val="006153FF"/>
    <w:rsid w:val="00615B67"/>
    <w:rsid w:val="00615C23"/>
    <w:rsid w:val="006168A9"/>
    <w:rsid w:val="00616C36"/>
    <w:rsid w:val="00617D08"/>
    <w:rsid w:val="00617FEC"/>
    <w:rsid w:val="0062003F"/>
    <w:rsid w:val="00620584"/>
    <w:rsid w:val="00620A71"/>
    <w:rsid w:val="00620C24"/>
    <w:rsid w:val="00620D80"/>
    <w:rsid w:val="00622115"/>
    <w:rsid w:val="00622A63"/>
    <w:rsid w:val="00622AB2"/>
    <w:rsid w:val="00623231"/>
    <w:rsid w:val="006234A6"/>
    <w:rsid w:val="00623A1E"/>
    <w:rsid w:val="006240AA"/>
    <w:rsid w:val="00624B00"/>
    <w:rsid w:val="00626000"/>
    <w:rsid w:val="006264CF"/>
    <w:rsid w:val="00626D12"/>
    <w:rsid w:val="00630001"/>
    <w:rsid w:val="00630959"/>
    <w:rsid w:val="006311B3"/>
    <w:rsid w:val="00631B19"/>
    <w:rsid w:val="00632196"/>
    <w:rsid w:val="0063284C"/>
    <w:rsid w:val="00632B4F"/>
    <w:rsid w:val="00632E41"/>
    <w:rsid w:val="006333A6"/>
    <w:rsid w:val="006348BB"/>
    <w:rsid w:val="00634C85"/>
    <w:rsid w:val="00636398"/>
    <w:rsid w:val="006368D3"/>
    <w:rsid w:val="00636C1F"/>
    <w:rsid w:val="00636F7D"/>
    <w:rsid w:val="006372A3"/>
    <w:rsid w:val="00637314"/>
    <w:rsid w:val="006377EC"/>
    <w:rsid w:val="006379B9"/>
    <w:rsid w:val="00637E70"/>
    <w:rsid w:val="0064082C"/>
    <w:rsid w:val="0064151F"/>
    <w:rsid w:val="00641533"/>
    <w:rsid w:val="00641CEB"/>
    <w:rsid w:val="0064208D"/>
    <w:rsid w:val="00642185"/>
    <w:rsid w:val="00642332"/>
    <w:rsid w:val="00642531"/>
    <w:rsid w:val="00642AFF"/>
    <w:rsid w:val="00642C2A"/>
    <w:rsid w:val="00643475"/>
    <w:rsid w:val="00643863"/>
    <w:rsid w:val="0064396A"/>
    <w:rsid w:val="00644189"/>
    <w:rsid w:val="006441A5"/>
    <w:rsid w:val="006444E2"/>
    <w:rsid w:val="00644A60"/>
    <w:rsid w:val="006455B3"/>
    <w:rsid w:val="006456A1"/>
    <w:rsid w:val="006458FB"/>
    <w:rsid w:val="0064590D"/>
    <w:rsid w:val="00645ED2"/>
    <w:rsid w:val="006461BA"/>
    <w:rsid w:val="006461F9"/>
    <w:rsid w:val="0064624E"/>
    <w:rsid w:val="006467D1"/>
    <w:rsid w:val="0065039B"/>
    <w:rsid w:val="00650AB9"/>
    <w:rsid w:val="00650E09"/>
    <w:rsid w:val="006510CD"/>
    <w:rsid w:val="0065228E"/>
    <w:rsid w:val="0065241F"/>
    <w:rsid w:val="00652F9D"/>
    <w:rsid w:val="00653277"/>
    <w:rsid w:val="006541E0"/>
    <w:rsid w:val="006548AE"/>
    <w:rsid w:val="00654AF1"/>
    <w:rsid w:val="00655454"/>
    <w:rsid w:val="00655733"/>
    <w:rsid w:val="0065587A"/>
    <w:rsid w:val="00655ACD"/>
    <w:rsid w:val="00655C0A"/>
    <w:rsid w:val="0065636A"/>
    <w:rsid w:val="006564CD"/>
    <w:rsid w:val="006567DF"/>
    <w:rsid w:val="00656A92"/>
    <w:rsid w:val="00656DDE"/>
    <w:rsid w:val="00656EE0"/>
    <w:rsid w:val="0066011D"/>
    <w:rsid w:val="006605CF"/>
    <w:rsid w:val="006607C0"/>
    <w:rsid w:val="00660960"/>
    <w:rsid w:val="00660CE4"/>
    <w:rsid w:val="006612AF"/>
    <w:rsid w:val="006613A6"/>
    <w:rsid w:val="00661D28"/>
    <w:rsid w:val="00661EF1"/>
    <w:rsid w:val="0066211E"/>
    <w:rsid w:val="0066234F"/>
    <w:rsid w:val="006627A2"/>
    <w:rsid w:val="00663413"/>
    <w:rsid w:val="006634E6"/>
    <w:rsid w:val="0066395F"/>
    <w:rsid w:val="00663DB1"/>
    <w:rsid w:val="0066491A"/>
    <w:rsid w:val="006649F8"/>
    <w:rsid w:val="00664AB5"/>
    <w:rsid w:val="00664F40"/>
    <w:rsid w:val="006655EE"/>
    <w:rsid w:val="0066579D"/>
    <w:rsid w:val="00665895"/>
    <w:rsid w:val="00665F0C"/>
    <w:rsid w:val="00666A12"/>
    <w:rsid w:val="00666AAC"/>
    <w:rsid w:val="00666DBF"/>
    <w:rsid w:val="00667EE7"/>
    <w:rsid w:val="00670487"/>
    <w:rsid w:val="00670922"/>
    <w:rsid w:val="00670BAE"/>
    <w:rsid w:val="00670BE1"/>
    <w:rsid w:val="00670C3A"/>
    <w:rsid w:val="00670CC1"/>
    <w:rsid w:val="00670F24"/>
    <w:rsid w:val="0067137A"/>
    <w:rsid w:val="00671726"/>
    <w:rsid w:val="0067218F"/>
    <w:rsid w:val="006722C9"/>
    <w:rsid w:val="0067238D"/>
    <w:rsid w:val="006730A5"/>
    <w:rsid w:val="0067319D"/>
    <w:rsid w:val="00673916"/>
    <w:rsid w:val="00674147"/>
    <w:rsid w:val="006741F2"/>
    <w:rsid w:val="006742D0"/>
    <w:rsid w:val="00674CC3"/>
    <w:rsid w:val="00675C72"/>
    <w:rsid w:val="00675CA8"/>
    <w:rsid w:val="00675CDD"/>
    <w:rsid w:val="00675EF5"/>
    <w:rsid w:val="006766BE"/>
    <w:rsid w:val="00676ADB"/>
    <w:rsid w:val="006771F9"/>
    <w:rsid w:val="006776D7"/>
    <w:rsid w:val="0068017D"/>
    <w:rsid w:val="00680487"/>
    <w:rsid w:val="006804C5"/>
    <w:rsid w:val="00680537"/>
    <w:rsid w:val="0068060A"/>
    <w:rsid w:val="00680D8E"/>
    <w:rsid w:val="00681003"/>
    <w:rsid w:val="006817C9"/>
    <w:rsid w:val="00682248"/>
    <w:rsid w:val="00682272"/>
    <w:rsid w:val="006822D5"/>
    <w:rsid w:val="00682398"/>
    <w:rsid w:val="00682BA9"/>
    <w:rsid w:val="00682D1B"/>
    <w:rsid w:val="00682F9E"/>
    <w:rsid w:val="00683CB8"/>
    <w:rsid w:val="00683DFF"/>
    <w:rsid w:val="00683ECE"/>
    <w:rsid w:val="006843CD"/>
    <w:rsid w:val="00685F22"/>
    <w:rsid w:val="00685FE9"/>
    <w:rsid w:val="00686EC9"/>
    <w:rsid w:val="006879A7"/>
    <w:rsid w:val="00687C10"/>
    <w:rsid w:val="00690ED5"/>
    <w:rsid w:val="00691802"/>
    <w:rsid w:val="00691B5F"/>
    <w:rsid w:val="006921E2"/>
    <w:rsid w:val="00693061"/>
    <w:rsid w:val="0069388D"/>
    <w:rsid w:val="00693901"/>
    <w:rsid w:val="006944BC"/>
    <w:rsid w:val="00694DFE"/>
    <w:rsid w:val="00694FF1"/>
    <w:rsid w:val="00695328"/>
    <w:rsid w:val="00695CE4"/>
    <w:rsid w:val="00695E8A"/>
    <w:rsid w:val="00695FC2"/>
    <w:rsid w:val="0069613A"/>
    <w:rsid w:val="0069653B"/>
    <w:rsid w:val="00696949"/>
    <w:rsid w:val="00696C2A"/>
    <w:rsid w:val="00697052"/>
    <w:rsid w:val="00697652"/>
    <w:rsid w:val="006A14DD"/>
    <w:rsid w:val="006A1C7D"/>
    <w:rsid w:val="006A350E"/>
    <w:rsid w:val="006A35C5"/>
    <w:rsid w:val="006A378F"/>
    <w:rsid w:val="006A4422"/>
    <w:rsid w:val="006A457C"/>
    <w:rsid w:val="006A46FB"/>
    <w:rsid w:val="006A4914"/>
    <w:rsid w:val="006A52FC"/>
    <w:rsid w:val="006A53ED"/>
    <w:rsid w:val="006A554B"/>
    <w:rsid w:val="006A59CB"/>
    <w:rsid w:val="006A5A2B"/>
    <w:rsid w:val="006A5E28"/>
    <w:rsid w:val="006A5ED3"/>
    <w:rsid w:val="006A6589"/>
    <w:rsid w:val="006A6751"/>
    <w:rsid w:val="006A697B"/>
    <w:rsid w:val="006A7509"/>
    <w:rsid w:val="006A792A"/>
    <w:rsid w:val="006A7AFF"/>
    <w:rsid w:val="006B05A4"/>
    <w:rsid w:val="006B0736"/>
    <w:rsid w:val="006B14CB"/>
    <w:rsid w:val="006B1816"/>
    <w:rsid w:val="006B2099"/>
    <w:rsid w:val="006B2537"/>
    <w:rsid w:val="006B38D0"/>
    <w:rsid w:val="006B3E02"/>
    <w:rsid w:val="006B4E62"/>
    <w:rsid w:val="006B50AF"/>
    <w:rsid w:val="006B50CF"/>
    <w:rsid w:val="006B513B"/>
    <w:rsid w:val="006B5508"/>
    <w:rsid w:val="006B63AF"/>
    <w:rsid w:val="006B6A7C"/>
    <w:rsid w:val="006B6B0B"/>
    <w:rsid w:val="006B7158"/>
    <w:rsid w:val="006C0107"/>
    <w:rsid w:val="006C03B8"/>
    <w:rsid w:val="006C048B"/>
    <w:rsid w:val="006C10F2"/>
    <w:rsid w:val="006C11F0"/>
    <w:rsid w:val="006C1EFA"/>
    <w:rsid w:val="006C24E3"/>
    <w:rsid w:val="006C2553"/>
    <w:rsid w:val="006C26DE"/>
    <w:rsid w:val="006C2768"/>
    <w:rsid w:val="006C3360"/>
    <w:rsid w:val="006C3802"/>
    <w:rsid w:val="006C3C97"/>
    <w:rsid w:val="006C40F0"/>
    <w:rsid w:val="006C43CA"/>
    <w:rsid w:val="006C4A95"/>
    <w:rsid w:val="006C4BA0"/>
    <w:rsid w:val="006C4E3D"/>
    <w:rsid w:val="006C4E89"/>
    <w:rsid w:val="006C5770"/>
    <w:rsid w:val="006C5EC9"/>
    <w:rsid w:val="006C6059"/>
    <w:rsid w:val="006C61E2"/>
    <w:rsid w:val="006C74AA"/>
    <w:rsid w:val="006C751B"/>
    <w:rsid w:val="006C7522"/>
    <w:rsid w:val="006C77F5"/>
    <w:rsid w:val="006D0A91"/>
    <w:rsid w:val="006D0BDA"/>
    <w:rsid w:val="006D181A"/>
    <w:rsid w:val="006D2197"/>
    <w:rsid w:val="006D2E77"/>
    <w:rsid w:val="006D30FD"/>
    <w:rsid w:val="006D3C75"/>
    <w:rsid w:val="006D3F3E"/>
    <w:rsid w:val="006D4006"/>
    <w:rsid w:val="006D641C"/>
    <w:rsid w:val="006D6644"/>
    <w:rsid w:val="006D6702"/>
    <w:rsid w:val="006D6F08"/>
    <w:rsid w:val="006D6F79"/>
    <w:rsid w:val="006D7807"/>
    <w:rsid w:val="006D7A37"/>
    <w:rsid w:val="006E0179"/>
    <w:rsid w:val="006E02F6"/>
    <w:rsid w:val="006E062C"/>
    <w:rsid w:val="006E0F0A"/>
    <w:rsid w:val="006E1350"/>
    <w:rsid w:val="006E1458"/>
    <w:rsid w:val="006E1C2A"/>
    <w:rsid w:val="006E1C82"/>
    <w:rsid w:val="006E1D90"/>
    <w:rsid w:val="006E2375"/>
    <w:rsid w:val="006E2605"/>
    <w:rsid w:val="006E2855"/>
    <w:rsid w:val="006E28B7"/>
    <w:rsid w:val="006E2A9B"/>
    <w:rsid w:val="006E2ADD"/>
    <w:rsid w:val="006E3310"/>
    <w:rsid w:val="006E3388"/>
    <w:rsid w:val="006E4515"/>
    <w:rsid w:val="006E47B7"/>
    <w:rsid w:val="006E4E39"/>
    <w:rsid w:val="006E4E74"/>
    <w:rsid w:val="006E4FD2"/>
    <w:rsid w:val="006E565E"/>
    <w:rsid w:val="006E5C1C"/>
    <w:rsid w:val="006E66E2"/>
    <w:rsid w:val="006E6734"/>
    <w:rsid w:val="006E673D"/>
    <w:rsid w:val="006E6BB6"/>
    <w:rsid w:val="006E6C13"/>
    <w:rsid w:val="006E7D3B"/>
    <w:rsid w:val="006F00CA"/>
    <w:rsid w:val="006F186B"/>
    <w:rsid w:val="006F1B70"/>
    <w:rsid w:val="006F2120"/>
    <w:rsid w:val="006F253B"/>
    <w:rsid w:val="006F341D"/>
    <w:rsid w:val="006F36A6"/>
    <w:rsid w:val="006F3CDE"/>
    <w:rsid w:val="006F45EE"/>
    <w:rsid w:val="006F58D4"/>
    <w:rsid w:val="006F5E5D"/>
    <w:rsid w:val="006F5F0D"/>
    <w:rsid w:val="006F6490"/>
    <w:rsid w:val="006F6582"/>
    <w:rsid w:val="006F67F7"/>
    <w:rsid w:val="006F6F32"/>
    <w:rsid w:val="006F7854"/>
    <w:rsid w:val="006F7E9A"/>
    <w:rsid w:val="0070125C"/>
    <w:rsid w:val="00702015"/>
    <w:rsid w:val="0070225A"/>
    <w:rsid w:val="00702377"/>
    <w:rsid w:val="0070287B"/>
    <w:rsid w:val="00703006"/>
    <w:rsid w:val="007032DB"/>
    <w:rsid w:val="0070346E"/>
    <w:rsid w:val="00703872"/>
    <w:rsid w:val="00704EDB"/>
    <w:rsid w:val="00705EC3"/>
    <w:rsid w:val="00706101"/>
    <w:rsid w:val="00706902"/>
    <w:rsid w:val="00706E2B"/>
    <w:rsid w:val="00706F7E"/>
    <w:rsid w:val="00707072"/>
    <w:rsid w:val="0070720A"/>
    <w:rsid w:val="00707D61"/>
    <w:rsid w:val="00711346"/>
    <w:rsid w:val="00711874"/>
    <w:rsid w:val="00711B29"/>
    <w:rsid w:val="00711BBD"/>
    <w:rsid w:val="00712000"/>
    <w:rsid w:val="00712287"/>
    <w:rsid w:val="00712772"/>
    <w:rsid w:val="00713072"/>
    <w:rsid w:val="007132F3"/>
    <w:rsid w:val="007136DF"/>
    <w:rsid w:val="0071399A"/>
    <w:rsid w:val="007147EB"/>
    <w:rsid w:val="007148D3"/>
    <w:rsid w:val="00714A2F"/>
    <w:rsid w:val="00714A5C"/>
    <w:rsid w:val="00715B8D"/>
    <w:rsid w:val="00715B9A"/>
    <w:rsid w:val="00717FBF"/>
    <w:rsid w:val="00721B08"/>
    <w:rsid w:val="00721B32"/>
    <w:rsid w:val="00721C8F"/>
    <w:rsid w:val="00721FE8"/>
    <w:rsid w:val="00722097"/>
    <w:rsid w:val="0072265A"/>
    <w:rsid w:val="0072273C"/>
    <w:rsid w:val="00723371"/>
    <w:rsid w:val="00723457"/>
    <w:rsid w:val="00724245"/>
    <w:rsid w:val="007245EB"/>
    <w:rsid w:val="00724C89"/>
    <w:rsid w:val="007257D0"/>
    <w:rsid w:val="00726EA6"/>
    <w:rsid w:val="00727208"/>
    <w:rsid w:val="0072760B"/>
    <w:rsid w:val="00727680"/>
    <w:rsid w:val="0072768A"/>
    <w:rsid w:val="00727C42"/>
    <w:rsid w:val="00727F36"/>
    <w:rsid w:val="00731DE7"/>
    <w:rsid w:val="00731FB1"/>
    <w:rsid w:val="00733326"/>
    <w:rsid w:val="0073336D"/>
    <w:rsid w:val="00733C56"/>
    <w:rsid w:val="00734400"/>
    <w:rsid w:val="00734744"/>
    <w:rsid w:val="007348B1"/>
    <w:rsid w:val="00735D6C"/>
    <w:rsid w:val="00735E59"/>
    <w:rsid w:val="007362A6"/>
    <w:rsid w:val="007367E8"/>
    <w:rsid w:val="0073699A"/>
    <w:rsid w:val="00736D7D"/>
    <w:rsid w:val="00737F04"/>
    <w:rsid w:val="00740045"/>
    <w:rsid w:val="00740E58"/>
    <w:rsid w:val="0074174A"/>
    <w:rsid w:val="00741ACF"/>
    <w:rsid w:val="00742D8B"/>
    <w:rsid w:val="0074368A"/>
    <w:rsid w:val="007437D7"/>
    <w:rsid w:val="00743F46"/>
    <w:rsid w:val="007445A0"/>
    <w:rsid w:val="00744800"/>
    <w:rsid w:val="0074524B"/>
    <w:rsid w:val="00745621"/>
    <w:rsid w:val="00745805"/>
    <w:rsid w:val="00745D01"/>
    <w:rsid w:val="0074613B"/>
    <w:rsid w:val="00746B2A"/>
    <w:rsid w:val="00747D8B"/>
    <w:rsid w:val="007511D3"/>
    <w:rsid w:val="00751228"/>
    <w:rsid w:val="00751AEC"/>
    <w:rsid w:val="00751C63"/>
    <w:rsid w:val="00752C61"/>
    <w:rsid w:val="0075313C"/>
    <w:rsid w:val="0075366E"/>
    <w:rsid w:val="007537BA"/>
    <w:rsid w:val="007543D1"/>
    <w:rsid w:val="0075486C"/>
    <w:rsid w:val="00754EB8"/>
    <w:rsid w:val="00755A4D"/>
    <w:rsid w:val="00755A62"/>
    <w:rsid w:val="00755F9B"/>
    <w:rsid w:val="007571E1"/>
    <w:rsid w:val="007604B2"/>
    <w:rsid w:val="007606B2"/>
    <w:rsid w:val="00761823"/>
    <w:rsid w:val="007621A7"/>
    <w:rsid w:val="00763232"/>
    <w:rsid w:val="0076329A"/>
    <w:rsid w:val="00763534"/>
    <w:rsid w:val="007636FD"/>
    <w:rsid w:val="00763D39"/>
    <w:rsid w:val="00765281"/>
    <w:rsid w:val="00765606"/>
    <w:rsid w:val="007664B8"/>
    <w:rsid w:val="007664B9"/>
    <w:rsid w:val="00766678"/>
    <w:rsid w:val="00766BAD"/>
    <w:rsid w:val="007702D4"/>
    <w:rsid w:val="00770D8A"/>
    <w:rsid w:val="007712B7"/>
    <w:rsid w:val="0077205D"/>
    <w:rsid w:val="00772732"/>
    <w:rsid w:val="007729A2"/>
    <w:rsid w:val="00772CD0"/>
    <w:rsid w:val="0077351A"/>
    <w:rsid w:val="00773EFF"/>
    <w:rsid w:val="007749B9"/>
    <w:rsid w:val="0077515F"/>
    <w:rsid w:val="00775232"/>
    <w:rsid w:val="007755F2"/>
    <w:rsid w:val="0077607C"/>
    <w:rsid w:val="00776971"/>
    <w:rsid w:val="00777EBF"/>
    <w:rsid w:val="007805CF"/>
    <w:rsid w:val="00780A80"/>
    <w:rsid w:val="00780B44"/>
    <w:rsid w:val="0078177E"/>
    <w:rsid w:val="00781B8C"/>
    <w:rsid w:val="00781BAA"/>
    <w:rsid w:val="00782D7F"/>
    <w:rsid w:val="0078304C"/>
    <w:rsid w:val="0078344D"/>
    <w:rsid w:val="00783673"/>
    <w:rsid w:val="00783A8A"/>
    <w:rsid w:val="00784028"/>
    <w:rsid w:val="007846F9"/>
    <w:rsid w:val="00784C91"/>
    <w:rsid w:val="00785490"/>
    <w:rsid w:val="00785AF2"/>
    <w:rsid w:val="00786BD3"/>
    <w:rsid w:val="00786FBC"/>
    <w:rsid w:val="00787882"/>
    <w:rsid w:val="0078793C"/>
    <w:rsid w:val="00791558"/>
    <w:rsid w:val="00791741"/>
    <w:rsid w:val="00791847"/>
    <w:rsid w:val="007925EA"/>
    <w:rsid w:val="00792940"/>
    <w:rsid w:val="007930DF"/>
    <w:rsid w:val="00793CD8"/>
    <w:rsid w:val="00793DB2"/>
    <w:rsid w:val="00794BA2"/>
    <w:rsid w:val="00794DC0"/>
    <w:rsid w:val="007954E8"/>
    <w:rsid w:val="007955D1"/>
    <w:rsid w:val="00795C92"/>
    <w:rsid w:val="00795F23"/>
    <w:rsid w:val="00795F43"/>
    <w:rsid w:val="00796231"/>
    <w:rsid w:val="00796352"/>
    <w:rsid w:val="007973BF"/>
    <w:rsid w:val="0079759D"/>
    <w:rsid w:val="007976B7"/>
    <w:rsid w:val="00797AB1"/>
    <w:rsid w:val="00797DF5"/>
    <w:rsid w:val="007A083F"/>
    <w:rsid w:val="007A0843"/>
    <w:rsid w:val="007A0C89"/>
    <w:rsid w:val="007A0D0A"/>
    <w:rsid w:val="007A1676"/>
    <w:rsid w:val="007A1CB3"/>
    <w:rsid w:val="007A1F52"/>
    <w:rsid w:val="007A306F"/>
    <w:rsid w:val="007A32A2"/>
    <w:rsid w:val="007A43A6"/>
    <w:rsid w:val="007A44B6"/>
    <w:rsid w:val="007A4EF2"/>
    <w:rsid w:val="007A58A6"/>
    <w:rsid w:val="007A5A0A"/>
    <w:rsid w:val="007A5B49"/>
    <w:rsid w:val="007A5E25"/>
    <w:rsid w:val="007A5EDF"/>
    <w:rsid w:val="007A6A5A"/>
    <w:rsid w:val="007A6D3B"/>
    <w:rsid w:val="007A6EBA"/>
    <w:rsid w:val="007A74FA"/>
    <w:rsid w:val="007B009F"/>
    <w:rsid w:val="007B058C"/>
    <w:rsid w:val="007B0ABF"/>
    <w:rsid w:val="007B0BCC"/>
    <w:rsid w:val="007B0E99"/>
    <w:rsid w:val="007B1137"/>
    <w:rsid w:val="007B1A48"/>
    <w:rsid w:val="007B1CA9"/>
    <w:rsid w:val="007B2A67"/>
    <w:rsid w:val="007B310E"/>
    <w:rsid w:val="007B3CCA"/>
    <w:rsid w:val="007B3D2D"/>
    <w:rsid w:val="007B45C7"/>
    <w:rsid w:val="007B50AE"/>
    <w:rsid w:val="007B51DF"/>
    <w:rsid w:val="007B5292"/>
    <w:rsid w:val="007B5D81"/>
    <w:rsid w:val="007B5DA9"/>
    <w:rsid w:val="007B5F4D"/>
    <w:rsid w:val="007B6176"/>
    <w:rsid w:val="007B6268"/>
    <w:rsid w:val="007B7344"/>
    <w:rsid w:val="007B78D8"/>
    <w:rsid w:val="007B7B2C"/>
    <w:rsid w:val="007C03C0"/>
    <w:rsid w:val="007C05DD"/>
    <w:rsid w:val="007C1736"/>
    <w:rsid w:val="007C2F80"/>
    <w:rsid w:val="007C30D0"/>
    <w:rsid w:val="007C31E4"/>
    <w:rsid w:val="007C3B60"/>
    <w:rsid w:val="007C3D18"/>
    <w:rsid w:val="007C3D55"/>
    <w:rsid w:val="007C48FB"/>
    <w:rsid w:val="007C4EEA"/>
    <w:rsid w:val="007C60BF"/>
    <w:rsid w:val="007C6199"/>
    <w:rsid w:val="007C6516"/>
    <w:rsid w:val="007C6565"/>
    <w:rsid w:val="007C6571"/>
    <w:rsid w:val="007C6A07"/>
    <w:rsid w:val="007C6E7D"/>
    <w:rsid w:val="007C7134"/>
    <w:rsid w:val="007C7571"/>
    <w:rsid w:val="007C75A1"/>
    <w:rsid w:val="007C77A5"/>
    <w:rsid w:val="007C783B"/>
    <w:rsid w:val="007D02C4"/>
    <w:rsid w:val="007D04E5"/>
    <w:rsid w:val="007D19B2"/>
    <w:rsid w:val="007D2892"/>
    <w:rsid w:val="007D43AD"/>
    <w:rsid w:val="007D4CAC"/>
    <w:rsid w:val="007D4E77"/>
    <w:rsid w:val="007D52EA"/>
    <w:rsid w:val="007D5901"/>
    <w:rsid w:val="007D614C"/>
    <w:rsid w:val="007D6650"/>
    <w:rsid w:val="007D6F3F"/>
    <w:rsid w:val="007D7150"/>
    <w:rsid w:val="007D72A2"/>
    <w:rsid w:val="007D7317"/>
    <w:rsid w:val="007D7501"/>
    <w:rsid w:val="007D7526"/>
    <w:rsid w:val="007D77DA"/>
    <w:rsid w:val="007E0100"/>
    <w:rsid w:val="007E0172"/>
    <w:rsid w:val="007E041F"/>
    <w:rsid w:val="007E0AB2"/>
    <w:rsid w:val="007E1FAD"/>
    <w:rsid w:val="007E21BD"/>
    <w:rsid w:val="007E231B"/>
    <w:rsid w:val="007E249F"/>
    <w:rsid w:val="007E2D4B"/>
    <w:rsid w:val="007E3109"/>
    <w:rsid w:val="007E3B14"/>
    <w:rsid w:val="007E3EB1"/>
    <w:rsid w:val="007E43CE"/>
    <w:rsid w:val="007E4610"/>
    <w:rsid w:val="007E4715"/>
    <w:rsid w:val="007E505B"/>
    <w:rsid w:val="007E528F"/>
    <w:rsid w:val="007E52FB"/>
    <w:rsid w:val="007E5400"/>
    <w:rsid w:val="007E7091"/>
    <w:rsid w:val="007F0383"/>
    <w:rsid w:val="007F0857"/>
    <w:rsid w:val="007F0C97"/>
    <w:rsid w:val="007F12A5"/>
    <w:rsid w:val="007F1499"/>
    <w:rsid w:val="007F18BE"/>
    <w:rsid w:val="007F1B71"/>
    <w:rsid w:val="007F1F1A"/>
    <w:rsid w:val="007F20D7"/>
    <w:rsid w:val="007F282C"/>
    <w:rsid w:val="007F2A5F"/>
    <w:rsid w:val="007F3464"/>
    <w:rsid w:val="007F4CDE"/>
    <w:rsid w:val="007F510F"/>
    <w:rsid w:val="007F5AB8"/>
    <w:rsid w:val="007F787E"/>
    <w:rsid w:val="007F7B72"/>
    <w:rsid w:val="007F7C69"/>
    <w:rsid w:val="007F7C90"/>
    <w:rsid w:val="00800288"/>
    <w:rsid w:val="00800F7C"/>
    <w:rsid w:val="00800FE0"/>
    <w:rsid w:val="00801001"/>
    <w:rsid w:val="00801406"/>
    <w:rsid w:val="00801468"/>
    <w:rsid w:val="00802447"/>
    <w:rsid w:val="00802629"/>
    <w:rsid w:val="00803134"/>
    <w:rsid w:val="00803356"/>
    <w:rsid w:val="0080374C"/>
    <w:rsid w:val="00803FAE"/>
    <w:rsid w:val="00804D3E"/>
    <w:rsid w:val="0080528A"/>
    <w:rsid w:val="00805ACC"/>
    <w:rsid w:val="0080605F"/>
    <w:rsid w:val="008060A6"/>
    <w:rsid w:val="00807094"/>
    <w:rsid w:val="008071C2"/>
    <w:rsid w:val="0080748A"/>
    <w:rsid w:val="00807786"/>
    <w:rsid w:val="00810160"/>
    <w:rsid w:val="00810CF3"/>
    <w:rsid w:val="00810D53"/>
    <w:rsid w:val="00810DD9"/>
    <w:rsid w:val="00811001"/>
    <w:rsid w:val="00811A1F"/>
    <w:rsid w:val="00811FCB"/>
    <w:rsid w:val="00812873"/>
    <w:rsid w:val="00812DBB"/>
    <w:rsid w:val="00812EB3"/>
    <w:rsid w:val="00814DBB"/>
    <w:rsid w:val="008158D6"/>
    <w:rsid w:val="0081648E"/>
    <w:rsid w:val="00816628"/>
    <w:rsid w:val="00816DD1"/>
    <w:rsid w:val="00817105"/>
    <w:rsid w:val="00817196"/>
    <w:rsid w:val="0081754B"/>
    <w:rsid w:val="008201C3"/>
    <w:rsid w:val="008206C1"/>
    <w:rsid w:val="00820B1A"/>
    <w:rsid w:val="0082148A"/>
    <w:rsid w:val="00822B58"/>
    <w:rsid w:val="00822D91"/>
    <w:rsid w:val="00822F5A"/>
    <w:rsid w:val="00823451"/>
    <w:rsid w:val="008235DB"/>
    <w:rsid w:val="00823B25"/>
    <w:rsid w:val="00823FE1"/>
    <w:rsid w:val="00824AB4"/>
    <w:rsid w:val="00825488"/>
    <w:rsid w:val="00825496"/>
    <w:rsid w:val="0082588C"/>
    <w:rsid w:val="00825C42"/>
    <w:rsid w:val="00825D25"/>
    <w:rsid w:val="00826234"/>
    <w:rsid w:val="00826685"/>
    <w:rsid w:val="00826873"/>
    <w:rsid w:val="00827D6F"/>
    <w:rsid w:val="00827DA5"/>
    <w:rsid w:val="0083000F"/>
    <w:rsid w:val="008300A8"/>
    <w:rsid w:val="008320E3"/>
    <w:rsid w:val="0083220F"/>
    <w:rsid w:val="0083284D"/>
    <w:rsid w:val="00832E74"/>
    <w:rsid w:val="008330C3"/>
    <w:rsid w:val="00833ED1"/>
    <w:rsid w:val="008348AE"/>
    <w:rsid w:val="00834981"/>
    <w:rsid w:val="00835399"/>
    <w:rsid w:val="00835499"/>
    <w:rsid w:val="008354F8"/>
    <w:rsid w:val="00835708"/>
    <w:rsid w:val="008359E1"/>
    <w:rsid w:val="00835B35"/>
    <w:rsid w:val="008376AC"/>
    <w:rsid w:val="00837DBB"/>
    <w:rsid w:val="0084032E"/>
    <w:rsid w:val="00840B05"/>
    <w:rsid w:val="0084124D"/>
    <w:rsid w:val="008412F9"/>
    <w:rsid w:val="00841D1A"/>
    <w:rsid w:val="00842341"/>
    <w:rsid w:val="00842A95"/>
    <w:rsid w:val="00842E93"/>
    <w:rsid w:val="00843E60"/>
    <w:rsid w:val="008443DC"/>
    <w:rsid w:val="008444E8"/>
    <w:rsid w:val="00844AE3"/>
    <w:rsid w:val="00844E80"/>
    <w:rsid w:val="00844E81"/>
    <w:rsid w:val="00845000"/>
    <w:rsid w:val="0084559A"/>
    <w:rsid w:val="008461E4"/>
    <w:rsid w:val="00846AFB"/>
    <w:rsid w:val="00846FE7"/>
    <w:rsid w:val="0084702D"/>
    <w:rsid w:val="008471C8"/>
    <w:rsid w:val="00847E5E"/>
    <w:rsid w:val="00850907"/>
    <w:rsid w:val="00850FB9"/>
    <w:rsid w:val="008511D8"/>
    <w:rsid w:val="008512F2"/>
    <w:rsid w:val="008514DF"/>
    <w:rsid w:val="00851746"/>
    <w:rsid w:val="008518F4"/>
    <w:rsid w:val="008519BC"/>
    <w:rsid w:val="0085285D"/>
    <w:rsid w:val="00853181"/>
    <w:rsid w:val="00853544"/>
    <w:rsid w:val="00856321"/>
    <w:rsid w:val="0085685D"/>
    <w:rsid w:val="00856911"/>
    <w:rsid w:val="008570DF"/>
    <w:rsid w:val="008570FB"/>
    <w:rsid w:val="008578F0"/>
    <w:rsid w:val="008601A9"/>
    <w:rsid w:val="0086040E"/>
    <w:rsid w:val="008610B8"/>
    <w:rsid w:val="008620AE"/>
    <w:rsid w:val="00862827"/>
    <w:rsid w:val="00862973"/>
    <w:rsid w:val="00862976"/>
    <w:rsid w:val="008629D7"/>
    <w:rsid w:val="00862B09"/>
    <w:rsid w:val="00863755"/>
    <w:rsid w:val="00863E36"/>
    <w:rsid w:val="0086413B"/>
    <w:rsid w:val="00864836"/>
    <w:rsid w:val="00865630"/>
    <w:rsid w:val="008663B8"/>
    <w:rsid w:val="0086659B"/>
    <w:rsid w:val="008668ED"/>
    <w:rsid w:val="00866973"/>
    <w:rsid w:val="008677FD"/>
    <w:rsid w:val="0086783C"/>
    <w:rsid w:val="0087024E"/>
    <w:rsid w:val="00870475"/>
    <w:rsid w:val="008704B1"/>
    <w:rsid w:val="008706D4"/>
    <w:rsid w:val="00870D89"/>
    <w:rsid w:val="00870F8A"/>
    <w:rsid w:val="008713B4"/>
    <w:rsid w:val="008719A4"/>
    <w:rsid w:val="00871D0A"/>
    <w:rsid w:val="00871D23"/>
    <w:rsid w:val="00871EDD"/>
    <w:rsid w:val="008721E6"/>
    <w:rsid w:val="0087249D"/>
    <w:rsid w:val="00872F12"/>
    <w:rsid w:val="00872FB2"/>
    <w:rsid w:val="008740D0"/>
    <w:rsid w:val="00874312"/>
    <w:rsid w:val="0087437C"/>
    <w:rsid w:val="00875094"/>
    <w:rsid w:val="00875486"/>
    <w:rsid w:val="008757B9"/>
    <w:rsid w:val="00875C0C"/>
    <w:rsid w:val="00875CD7"/>
    <w:rsid w:val="0087604B"/>
    <w:rsid w:val="00876B4D"/>
    <w:rsid w:val="00876BD8"/>
    <w:rsid w:val="00877003"/>
    <w:rsid w:val="00877558"/>
    <w:rsid w:val="00877F18"/>
    <w:rsid w:val="008800BB"/>
    <w:rsid w:val="008800F7"/>
    <w:rsid w:val="00881335"/>
    <w:rsid w:val="008818A8"/>
    <w:rsid w:val="00881BEB"/>
    <w:rsid w:val="00881C38"/>
    <w:rsid w:val="008825A2"/>
    <w:rsid w:val="008836A5"/>
    <w:rsid w:val="008837BF"/>
    <w:rsid w:val="00883B4C"/>
    <w:rsid w:val="008844BD"/>
    <w:rsid w:val="00885126"/>
    <w:rsid w:val="00885483"/>
    <w:rsid w:val="00886D49"/>
    <w:rsid w:val="0089077D"/>
    <w:rsid w:val="00892274"/>
    <w:rsid w:val="00893BF8"/>
    <w:rsid w:val="008941E3"/>
    <w:rsid w:val="00894848"/>
    <w:rsid w:val="00894A88"/>
    <w:rsid w:val="00895386"/>
    <w:rsid w:val="00895884"/>
    <w:rsid w:val="00895A64"/>
    <w:rsid w:val="00895B47"/>
    <w:rsid w:val="00895FB1"/>
    <w:rsid w:val="008966C7"/>
    <w:rsid w:val="008973A7"/>
    <w:rsid w:val="008974B5"/>
    <w:rsid w:val="008974E7"/>
    <w:rsid w:val="008975FF"/>
    <w:rsid w:val="008A0D74"/>
    <w:rsid w:val="008A18D9"/>
    <w:rsid w:val="008A21FF"/>
    <w:rsid w:val="008A2CE2"/>
    <w:rsid w:val="008A30AC"/>
    <w:rsid w:val="008A3AAE"/>
    <w:rsid w:val="008A40AF"/>
    <w:rsid w:val="008A44B8"/>
    <w:rsid w:val="008A47D5"/>
    <w:rsid w:val="008A51A8"/>
    <w:rsid w:val="008A54C7"/>
    <w:rsid w:val="008A6B97"/>
    <w:rsid w:val="008A7119"/>
    <w:rsid w:val="008A77D8"/>
    <w:rsid w:val="008B0483"/>
    <w:rsid w:val="008B05F2"/>
    <w:rsid w:val="008B120C"/>
    <w:rsid w:val="008B1338"/>
    <w:rsid w:val="008B2133"/>
    <w:rsid w:val="008B2500"/>
    <w:rsid w:val="008B2944"/>
    <w:rsid w:val="008B2D02"/>
    <w:rsid w:val="008B3B30"/>
    <w:rsid w:val="008B51A0"/>
    <w:rsid w:val="008B5634"/>
    <w:rsid w:val="008B592A"/>
    <w:rsid w:val="008B5C4B"/>
    <w:rsid w:val="008B63B2"/>
    <w:rsid w:val="008B682C"/>
    <w:rsid w:val="008B69E0"/>
    <w:rsid w:val="008B6E9C"/>
    <w:rsid w:val="008B7484"/>
    <w:rsid w:val="008B74E7"/>
    <w:rsid w:val="008B79C3"/>
    <w:rsid w:val="008B7B5C"/>
    <w:rsid w:val="008B7E71"/>
    <w:rsid w:val="008C07F0"/>
    <w:rsid w:val="008C0B12"/>
    <w:rsid w:val="008C0C99"/>
    <w:rsid w:val="008C0C9F"/>
    <w:rsid w:val="008C1353"/>
    <w:rsid w:val="008C1E47"/>
    <w:rsid w:val="008C2017"/>
    <w:rsid w:val="008C264A"/>
    <w:rsid w:val="008C291B"/>
    <w:rsid w:val="008C2D76"/>
    <w:rsid w:val="008C3324"/>
    <w:rsid w:val="008C3647"/>
    <w:rsid w:val="008C3BBF"/>
    <w:rsid w:val="008C4170"/>
    <w:rsid w:val="008C4395"/>
    <w:rsid w:val="008C4958"/>
    <w:rsid w:val="008C4BAA"/>
    <w:rsid w:val="008C53D7"/>
    <w:rsid w:val="008C56D5"/>
    <w:rsid w:val="008C6AE8"/>
    <w:rsid w:val="008C7573"/>
    <w:rsid w:val="008C7A0D"/>
    <w:rsid w:val="008C7E87"/>
    <w:rsid w:val="008D00A5"/>
    <w:rsid w:val="008D1D13"/>
    <w:rsid w:val="008D2288"/>
    <w:rsid w:val="008D2923"/>
    <w:rsid w:val="008D34F1"/>
    <w:rsid w:val="008D3524"/>
    <w:rsid w:val="008D3918"/>
    <w:rsid w:val="008D39D8"/>
    <w:rsid w:val="008D421A"/>
    <w:rsid w:val="008D4D62"/>
    <w:rsid w:val="008D5438"/>
    <w:rsid w:val="008D5BAB"/>
    <w:rsid w:val="008D6293"/>
    <w:rsid w:val="008D62C8"/>
    <w:rsid w:val="008D65CD"/>
    <w:rsid w:val="008D6D1A"/>
    <w:rsid w:val="008D6DAD"/>
    <w:rsid w:val="008D6DDC"/>
    <w:rsid w:val="008D799B"/>
    <w:rsid w:val="008E0555"/>
    <w:rsid w:val="008E0581"/>
    <w:rsid w:val="008E065E"/>
    <w:rsid w:val="008E0895"/>
    <w:rsid w:val="008E0927"/>
    <w:rsid w:val="008E0B37"/>
    <w:rsid w:val="008E1909"/>
    <w:rsid w:val="008E2190"/>
    <w:rsid w:val="008E222B"/>
    <w:rsid w:val="008E22E9"/>
    <w:rsid w:val="008E39D0"/>
    <w:rsid w:val="008E3A73"/>
    <w:rsid w:val="008E430B"/>
    <w:rsid w:val="008E4A67"/>
    <w:rsid w:val="008E4B80"/>
    <w:rsid w:val="008E5145"/>
    <w:rsid w:val="008E554C"/>
    <w:rsid w:val="008E58CE"/>
    <w:rsid w:val="008E5AD2"/>
    <w:rsid w:val="008E5DD4"/>
    <w:rsid w:val="008E5DF6"/>
    <w:rsid w:val="008E68C4"/>
    <w:rsid w:val="008E72F0"/>
    <w:rsid w:val="008E7E82"/>
    <w:rsid w:val="008F15A6"/>
    <w:rsid w:val="008F1C4E"/>
    <w:rsid w:val="008F1EAB"/>
    <w:rsid w:val="008F20E4"/>
    <w:rsid w:val="008F2188"/>
    <w:rsid w:val="008F2761"/>
    <w:rsid w:val="008F33DC"/>
    <w:rsid w:val="008F395F"/>
    <w:rsid w:val="008F3A6E"/>
    <w:rsid w:val="008F3CA6"/>
    <w:rsid w:val="008F433C"/>
    <w:rsid w:val="008F477F"/>
    <w:rsid w:val="008F52C4"/>
    <w:rsid w:val="008F5393"/>
    <w:rsid w:val="008F5F53"/>
    <w:rsid w:val="008F65D3"/>
    <w:rsid w:val="008F6AB6"/>
    <w:rsid w:val="008F798B"/>
    <w:rsid w:val="009003C1"/>
    <w:rsid w:val="00901D12"/>
    <w:rsid w:val="00902350"/>
    <w:rsid w:val="0090336B"/>
    <w:rsid w:val="00903374"/>
    <w:rsid w:val="00903650"/>
    <w:rsid w:val="00903B9E"/>
    <w:rsid w:val="00904444"/>
    <w:rsid w:val="0090533B"/>
    <w:rsid w:val="009053AA"/>
    <w:rsid w:val="00905BCE"/>
    <w:rsid w:val="0090623E"/>
    <w:rsid w:val="00906939"/>
    <w:rsid w:val="00907028"/>
    <w:rsid w:val="00907778"/>
    <w:rsid w:val="00907B8E"/>
    <w:rsid w:val="00907E7F"/>
    <w:rsid w:val="00910B7D"/>
    <w:rsid w:val="00910D81"/>
    <w:rsid w:val="00911923"/>
    <w:rsid w:val="00911DFB"/>
    <w:rsid w:val="00912797"/>
    <w:rsid w:val="00912A2F"/>
    <w:rsid w:val="009136B3"/>
    <w:rsid w:val="009139D9"/>
    <w:rsid w:val="00913F64"/>
    <w:rsid w:val="009142DD"/>
    <w:rsid w:val="00914381"/>
    <w:rsid w:val="0091439E"/>
    <w:rsid w:val="00914AD8"/>
    <w:rsid w:val="00914E43"/>
    <w:rsid w:val="00914FE7"/>
    <w:rsid w:val="00915247"/>
    <w:rsid w:val="00915297"/>
    <w:rsid w:val="00916079"/>
    <w:rsid w:val="00916193"/>
    <w:rsid w:val="0091731D"/>
    <w:rsid w:val="009178B7"/>
    <w:rsid w:val="00917B5B"/>
    <w:rsid w:val="00917CE9"/>
    <w:rsid w:val="00917EF8"/>
    <w:rsid w:val="00917F85"/>
    <w:rsid w:val="0092075B"/>
    <w:rsid w:val="00920BF2"/>
    <w:rsid w:val="00920C4D"/>
    <w:rsid w:val="00921932"/>
    <w:rsid w:val="00922010"/>
    <w:rsid w:val="009224B8"/>
    <w:rsid w:val="00922724"/>
    <w:rsid w:val="00922CCF"/>
    <w:rsid w:val="00922EAF"/>
    <w:rsid w:val="00924EE8"/>
    <w:rsid w:val="0092515E"/>
    <w:rsid w:val="00925C32"/>
    <w:rsid w:val="00926165"/>
    <w:rsid w:val="0092684E"/>
    <w:rsid w:val="00926E82"/>
    <w:rsid w:val="00927729"/>
    <w:rsid w:val="00927A9A"/>
    <w:rsid w:val="00931400"/>
    <w:rsid w:val="00931519"/>
    <w:rsid w:val="009318E2"/>
    <w:rsid w:val="00931BD9"/>
    <w:rsid w:val="00932085"/>
    <w:rsid w:val="00932BDF"/>
    <w:rsid w:val="0093318D"/>
    <w:rsid w:val="009336B4"/>
    <w:rsid w:val="00933782"/>
    <w:rsid w:val="0093461B"/>
    <w:rsid w:val="00934951"/>
    <w:rsid w:val="00936009"/>
    <w:rsid w:val="00936893"/>
    <w:rsid w:val="009368F3"/>
    <w:rsid w:val="00936BF2"/>
    <w:rsid w:val="009375BC"/>
    <w:rsid w:val="0093774B"/>
    <w:rsid w:val="00937AC1"/>
    <w:rsid w:val="00940089"/>
    <w:rsid w:val="00940112"/>
    <w:rsid w:val="009407F0"/>
    <w:rsid w:val="00940AA6"/>
    <w:rsid w:val="00940B5B"/>
    <w:rsid w:val="00940C81"/>
    <w:rsid w:val="009413E1"/>
    <w:rsid w:val="00941636"/>
    <w:rsid w:val="00941A6C"/>
    <w:rsid w:val="00941E55"/>
    <w:rsid w:val="00942292"/>
    <w:rsid w:val="009427BA"/>
    <w:rsid w:val="00942A10"/>
    <w:rsid w:val="00943742"/>
    <w:rsid w:val="0094397C"/>
    <w:rsid w:val="00943D35"/>
    <w:rsid w:val="00943E19"/>
    <w:rsid w:val="00944B58"/>
    <w:rsid w:val="00945270"/>
    <w:rsid w:val="009458F2"/>
    <w:rsid w:val="00945C05"/>
    <w:rsid w:val="00945C38"/>
    <w:rsid w:val="00945CA3"/>
    <w:rsid w:val="00946742"/>
    <w:rsid w:val="00946945"/>
    <w:rsid w:val="00946F7C"/>
    <w:rsid w:val="00947713"/>
    <w:rsid w:val="00950DE7"/>
    <w:rsid w:val="00951067"/>
    <w:rsid w:val="0095112E"/>
    <w:rsid w:val="00951198"/>
    <w:rsid w:val="00951F20"/>
    <w:rsid w:val="00952926"/>
    <w:rsid w:val="00953920"/>
    <w:rsid w:val="00953AEE"/>
    <w:rsid w:val="00953D47"/>
    <w:rsid w:val="009540F2"/>
    <w:rsid w:val="00954154"/>
    <w:rsid w:val="00954561"/>
    <w:rsid w:val="009547C0"/>
    <w:rsid w:val="00954FD3"/>
    <w:rsid w:val="00955294"/>
    <w:rsid w:val="00955331"/>
    <w:rsid w:val="00955DBB"/>
    <w:rsid w:val="00956358"/>
    <w:rsid w:val="0095681E"/>
    <w:rsid w:val="00956F50"/>
    <w:rsid w:val="00957078"/>
    <w:rsid w:val="009572D4"/>
    <w:rsid w:val="0095735A"/>
    <w:rsid w:val="00960B26"/>
    <w:rsid w:val="00961790"/>
    <w:rsid w:val="00961921"/>
    <w:rsid w:val="00961A75"/>
    <w:rsid w:val="00961E04"/>
    <w:rsid w:val="00961EC6"/>
    <w:rsid w:val="0096298B"/>
    <w:rsid w:val="00963440"/>
    <w:rsid w:val="009634F6"/>
    <w:rsid w:val="0096430A"/>
    <w:rsid w:val="00964323"/>
    <w:rsid w:val="0096499C"/>
    <w:rsid w:val="00964E39"/>
    <w:rsid w:val="00964EF1"/>
    <w:rsid w:val="0096554B"/>
    <w:rsid w:val="0096584A"/>
    <w:rsid w:val="0096593D"/>
    <w:rsid w:val="009659FA"/>
    <w:rsid w:val="00966280"/>
    <w:rsid w:val="00971107"/>
    <w:rsid w:val="00971667"/>
    <w:rsid w:val="00971AD2"/>
    <w:rsid w:val="00971F08"/>
    <w:rsid w:val="00974052"/>
    <w:rsid w:val="009740DE"/>
    <w:rsid w:val="00975705"/>
    <w:rsid w:val="0097603D"/>
    <w:rsid w:val="009761F8"/>
    <w:rsid w:val="00976949"/>
    <w:rsid w:val="00976AB9"/>
    <w:rsid w:val="0098035C"/>
    <w:rsid w:val="00980477"/>
    <w:rsid w:val="00980C51"/>
    <w:rsid w:val="00982A30"/>
    <w:rsid w:val="00982E2B"/>
    <w:rsid w:val="00982FCF"/>
    <w:rsid w:val="00983281"/>
    <w:rsid w:val="0098458E"/>
    <w:rsid w:val="00985253"/>
    <w:rsid w:val="009853B3"/>
    <w:rsid w:val="009854AD"/>
    <w:rsid w:val="009862DF"/>
    <w:rsid w:val="00986324"/>
    <w:rsid w:val="00987677"/>
    <w:rsid w:val="00987ADC"/>
    <w:rsid w:val="00987E65"/>
    <w:rsid w:val="00990103"/>
    <w:rsid w:val="00990598"/>
    <w:rsid w:val="00990630"/>
    <w:rsid w:val="009906B8"/>
    <w:rsid w:val="00990AA1"/>
    <w:rsid w:val="00990ECC"/>
    <w:rsid w:val="00991297"/>
    <w:rsid w:val="00991761"/>
    <w:rsid w:val="00991A36"/>
    <w:rsid w:val="00991C89"/>
    <w:rsid w:val="00991FF1"/>
    <w:rsid w:val="00992000"/>
    <w:rsid w:val="009922C7"/>
    <w:rsid w:val="00992665"/>
    <w:rsid w:val="00992C70"/>
    <w:rsid w:val="009932BF"/>
    <w:rsid w:val="00993EC0"/>
    <w:rsid w:val="00994A83"/>
    <w:rsid w:val="00994DCA"/>
    <w:rsid w:val="009960EC"/>
    <w:rsid w:val="00996196"/>
    <w:rsid w:val="00996836"/>
    <w:rsid w:val="00996897"/>
    <w:rsid w:val="00996A76"/>
    <w:rsid w:val="00996AB9"/>
    <w:rsid w:val="00996C57"/>
    <w:rsid w:val="009970DD"/>
    <w:rsid w:val="009976DF"/>
    <w:rsid w:val="009977FC"/>
    <w:rsid w:val="009A00C1"/>
    <w:rsid w:val="009A02FD"/>
    <w:rsid w:val="009A0FBA"/>
    <w:rsid w:val="009A1601"/>
    <w:rsid w:val="009A1853"/>
    <w:rsid w:val="009A18B0"/>
    <w:rsid w:val="009A2FFC"/>
    <w:rsid w:val="009A3423"/>
    <w:rsid w:val="009A36AE"/>
    <w:rsid w:val="009A36F8"/>
    <w:rsid w:val="009A3B6F"/>
    <w:rsid w:val="009A3BB6"/>
    <w:rsid w:val="009A3F00"/>
    <w:rsid w:val="009A40DF"/>
    <w:rsid w:val="009A462D"/>
    <w:rsid w:val="009A4B4E"/>
    <w:rsid w:val="009A4C70"/>
    <w:rsid w:val="009A5CBA"/>
    <w:rsid w:val="009A6245"/>
    <w:rsid w:val="009A6251"/>
    <w:rsid w:val="009A6A1F"/>
    <w:rsid w:val="009A6F23"/>
    <w:rsid w:val="009A77E4"/>
    <w:rsid w:val="009A7E51"/>
    <w:rsid w:val="009B0CF8"/>
    <w:rsid w:val="009B11E6"/>
    <w:rsid w:val="009B1F30"/>
    <w:rsid w:val="009B219A"/>
    <w:rsid w:val="009B2538"/>
    <w:rsid w:val="009B2619"/>
    <w:rsid w:val="009B26F8"/>
    <w:rsid w:val="009B3AC2"/>
    <w:rsid w:val="009B3E04"/>
    <w:rsid w:val="009B454A"/>
    <w:rsid w:val="009B46D6"/>
    <w:rsid w:val="009B4789"/>
    <w:rsid w:val="009B4A86"/>
    <w:rsid w:val="009B4B10"/>
    <w:rsid w:val="009B4DF4"/>
    <w:rsid w:val="009B4E5B"/>
    <w:rsid w:val="009B52BA"/>
    <w:rsid w:val="009B534D"/>
    <w:rsid w:val="009B564E"/>
    <w:rsid w:val="009B5793"/>
    <w:rsid w:val="009B5B86"/>
    <w:rsid w:val="009B5CEC"/>
    <w:rsid w:val="009B662E"/>
    <w:rsid w:val="009B6FC7"/>
    <w:rsid w:val="009B7141"/>
    <w:rsid w:val="009B7D09"/>
    <w:rsid w:val="009B7E87"/>
    <w:rsid w:val="009C0169"/>
    <w:rsid w:val="009C043E"/>
    <w:rsid w:val="009C0EEE"/>
    <w:rsid w:val="009C1797"/>
    <w:rsid w:val="009C18B4"/>
    <w:rsid w:val="009C2088"/>
    <w:rsid w:val="009C2779"/>
    <w:rsid w:val="009C3047"/>
    <w:rsid w:val="009C34F6"/>
    <w:rsid w:val="009C3D35"/>
    <w:rsid w:val="009C403E"/>
    <w:rsid w:val="009C598F"/>
    <w:rsid w:val="009C5CDF"/>
    <w:rsid w:val="009C6104"/>
    <w:rsid w:val="009C67A3"/>
    <w:rsid w:val="009C759D"/>
    <w:rsid w:val="009C790D"/>
    <w:rsid w:val="009C794E"/>
    <w:rsid w:val="009C7E4B"/>
    <w:rsid w:val="009D088F"/>
    <w:rsid w:val="009D15E6"/>
    <w:rsid w:val="009D1B9B"/>
    <w:rsid w:val="009D27A0"/>
    <w:rsid w:val="009D3F1A"/>
    <w:rsid w:val="009D49C5"/>
    <w:rsid w:val="009D4FF0"/>
    <w:rsid w:val="009D5133"/>
    <w:rsid w:val="009D56CB"/>
    <w:rsid w:val="009D652C"/>
    <w:rsid w:val="009D664B"/>
    <w:rsid w:val="009D6AE7"/>
    <w:rsid w:val="009D6E71"/>
    <w:rsid w:val="009D703C"/>
    <w:rsid w:val="009D718F"/>
    <w:rsid w:val="009D7F90"/>
    <w:rsid w:val="009E05B4"/>
    <w:rsid w:val="009E068F"/>
    <w:rsid w:val="009E09BC"/>
    <w:rsid w:val="009E14E0"/>
    <w:rsid w:val="009E1DE8"/>
    <w:rsid w:val="009E2501"/>
    <w:rsid w:val="009E2B20"/>
    <w:rsid w:val="009E35DB"/>
    <w:rsid w:val="009E368C"/>
    <w:rsid w:val="009E39CF"/>
    <w:rsid w:val="009E421A"/>
    <w:rsid w:val="009E4278"/>
    <w:rsid w:val="009E47A3"/>
    <w:rsid w:val="009E4D1A"/>
    <w:rsid w:val="009E549A"/>
    <w:rsid w:val="009E5AB3"/>
    <w:rsid w:val="009E5EE8"/>
    <w:rsid w:val="009E60CC"/>
    <w:rsid w:val="009E7708"/>
    <w:rsid w:val="009F08F3"/>
    <w:rsid w:val="009F0C0B"/>
    <w:rsid w:val="009F1042"/>
    <w:rsid w:val="009F13D7"/>
    <w:rsid w:val="009F16C7"/>
    <w:rsid w:val="009F1A22"/>
    <w:rsid w:val="009F1DC9"/>
    <w:rsid w:val="009F2194"/>
    <w:rsid w:val="009F3027"/>
    <w:rsid w:val="009F330D"/>
    <w:rsid w:val="009F340A"/>
    <w:rsid w:val="009F344F"/>
    <w:rsid w:val="009F3A9B"/>
    <w:rsid w:val="009F3BCD"/>
    <w:rsid w:val="009F4517"/>
    <w:rsid w:val="009F48A1"/>
    <w:rsid w:val="009F50A5"/>
    <w:rsid w:val="009F50CE"/>
    <w:rsid w:val="009F53C7"/>
    <w:rsid w:val="009F5B3E"/>
    <w:rsid w:val="009F5B49"/>
    <w:rsid w:val="009F5B5D"/>
    <w:rsid w:val="009F5CAB"/>
    <w:rsid w:val="009F5F29"/>
    <w:rsid w:val="009F6BAA"/>
    <w:rsid w:val="009F71B1"/>
    <w:rsid w:val="009F7FF3"/>
    <w:rsid w:val="00A01FC9"/>
    <w:rsid w:val="00A02791"/>
    <w:rsid w:val="00A031D8"/>
    <w:rsid w:val="00A0350C"/>
    <w:rsid w:val="00A046D8"/>
    <w:rsid w:val="00A0472A"/>
    <w:rsid w:val="00A048A8"/>
    <w:rsid w:val="00A04F49"/>
    <w:rsid w:val="00A0575A"/>
    <w:rsid w:val="00A0652B"/>
    <w:rsid w:val="00A06ECC"/>
    <w:rsid w:val="00A075D3"/>
    <w:rsid w:val="00A07607"/>
    <w:rsid w:val="00A0777E"/>
    <w:rsid w:val="00A10202"/>
    <w:rsid w:val="00A10279"/>
    <w:rsid w:val="00A11C0F"/>
    <w:rsid w:val="00A11CA1"/>
    <w:rsid w:val="00A1259D"/>
    <w:rsid w:val="00A126A0"/>
    <w:rsid w:val="00A12DED"/>
    <w:rsid w:val="00A13AAA"/>
    <w:rsid w:val="00A13BC9"/>
    <w:rsid w:val="00A13E54"/>
    <w:rsid w:val="00A1408F"/>
    <w:rsid w:val="00A14477"/>
    <w:rsid w:val="00A14B38"/>
    <w:rsid w:val="00A1587E"/>
    <w:rsid w:val="00A15DD5"/>
    <w:rsid w:val="00A1637F"/>
    <w:rsid w:val="00A16439"/>
    <w:rsid w:val="00A168FE"/>
    <w:rsid w:val="00A16EEF"/>
    <w:rsid w:val="00A1769F"/>
    <w:rsid w:val="00A17820"/>
    <w:rsid w:val="00A17C75"/>
    <w:rsid w:val="00A17CD7"/>
    <w:rsid w:val="00A17F63"/>
    <w:rsid w:val="00A17FB8"/>
    <w:rsid w:val="00A200F0"/>
    <w:rsid w:val="00A2087D"/>
    <w:rsid w:val="00A2092F"/>
    <w:rsid w:val="00A20DF5"/>
    <w:rsid w:val="00A2121C"/>
    <w:rsid w:val="00A21282"/>
    <w:rsid w:val="00A212C8"/>
    <w:rsid w:val="00A2193B"/>
    <w:rsid w:val="00A21D99"/>
    <w:rsid w:val="00A220D3"/>
    <w:rsid w:val="00A22E6D"/>
    <w:rsid w:val="00A2351A"/>
    <w:rsid w:val="00A23EC3"/>
    <w:rsid w:val="00A24201"/>
    <w:rsid w:val="00A2452A"/>
    <w:rsid w:val="00A24EF7"/>
    <w:rsid w:val="00A25394"/>
    <w:rsid w:val="00A258EE"/>
    <w:rsid w:val="00A25921"/>
    <w:rsid w:val="00A259FC"/>
    <w:rsid w:val="00A264A9"/>
    <w:rsid w:val="00A2674F"/>
    <w:rsid w:val="00A26DCF"/>
    <w:rsid w:val="00A26FA5"/>
    <w:rsid w:val="00A27785"/>
    <w:rsid w:val="00A277CA"/>
    <w:rsid w:val="00A279D9"/>
    <w:rsid w:val="00A30187"/>
    <w:rsid w:val="00A30505"/>
    <w:rsid w:val="00A30C06"/>
    <w:rsid w:val="00A30D5B"/>
    <w:rsid w:val="00A31DB6"/>
    <w:rsid w:val="00A32559"/>
    <w:rsid w:val="00A328C6"/>
    <w:rsid w:val="00A32B0C"/>
    <w:rsid w:val="00A33980"/>
    <w:rsid w:val="00A339EC"/>
    <w:rsid w:val="00A3448A"/>
    <w:rsid w:val="00A349A1"/>
    <w:rsid w:val="00A34E1D"/>
    <w:rsid w:val="00A3564F"/>
    <w:rsid w:val="00A360F7"/>
    <w:rsid w:val="00A36297"/>
    <w:rsid w:val="00A405E9"/>
    <w:rsid w:val="00A40724"/>
    <w:rsid w:val="00A40735"/>
    <w:rsid w:val="00A40ADF"/>
    <w:rsid w:val="00A40C09"/>
    <w:rsid w:val="00A40EDC"/>
    <w:rsid w:val="00A41403"/>
    <w:rsid w:val="00A41567"/>
    <w:rsid w:val="00A41CBC"/>
    <w:rsid w:val="00A41E2B"/>
    <w:rsid w:val="00A4228C"/>
    <w:rsid w:val="00A42698"/>
    <w:rsid w:val="00A431E7"/>
    <w:rsid w:val="00A44736"/>
    <w:rsid w:val="00A44E00"/>
    <w:rsid w:val="00A45730"/>
    <w:rsid w:val="00A45B74"/>
    <w:rsid w:val="00A46376"/>
    <w:rsid w:val="00A47229"/>
    <w:rsid w:val="00A4778B"/>
    <w:rsid w:val="00A47C05"/>
    <w:rsid w:val="00A47E41"/>
    <w:rsid w:val="00A5001E"/>
    <w:rsid w:val="00A502FA"/>
    <w:rsid w:val="00A5061D"/>
    <w:rsid w:val="00A51B12"/>
    <w:rsid w:val="00A51D10"/>
    <w:rsid w:val="00A522A0"/>
    <w:rsid w:val="00A52E1D"/>
    <w:rsid w:val="00A5315A"/>
    <w:rsid w:val="00A53BB3"/>
    <w:rsid w:val="00A541F6"/>
    <w:rsid w:val="00A54415"/>
    <w:rsid w:val="00A54F8E"/>
    <w:rsid w:val="00A55141"/>
    <w:rsid w:val="00A552E1"/>
    <w:rsid w:val="00A55339"/>
    <w:rsid w:val="00A5590D"/>
    <w:rsid w:val="00A5593A"/>
    <w:rsid w:val="00A5596F"/>
    <w:rsid w:val="00A55EBF"/>
    <w:rsid w:val="00A56C6D"/>
    <w:rsid w:val="00A56F2C"/>
    <w:rsid w:val="00A5788A"/>
    <w:rsid w:val="00A60CDE"/>
    <w:rsid w:val="00A60E19"/>
    <w:rsid w:val="00A61499"/>
    <w:rsid w:val="00A62341"/>
    <w:rsid w:val="00A62A77"/>
    <w:rsid w:val="00A63483"/>
    <w:rsid w:val="00A642EC"/>
    <w:rsid w:val="00A64A18"/>
    <w:rsid w:val="00A64AC6"/>
    <w:rsid w:val="00A64B3E"/>
    <w:rsid w:val="00A652A7"/>
    <w:rsid w:val="00A657D7"/>
    <w:rsid w:val="00A660AC"/>
    <w:rsid w:val="00A67609"/>
    <w:rsid w:val="00A67B1B"/>
    <w:rsid w:val="00A67B46"/>
    <w:rsid w:val="00A67E6C"/>
    <w:rsid w:val="00A71B99"/>
    <w:rsid w:val="00A73933"/>
    <w:rsid w:val="00A739D0"/>
    <w:rsid w:val="00A73B0E"/>
    <w:rsid w:val="00A73E63"/>
    <w:rsid w:val="00A7490B"/>
    <w:rsid w:val="00A74C23"/>
    <w:rsid w:val="00A74DC5"/>
    <w:rsid w:val="00A7583A"/>
    <w:rsid w:val="00A761D4"/>
    <w:rsid w:val="00A76A29"/>
    <w:rsid w:val="00A76D43"/>
    <w:rsid w:val="00A76ECE"/>
    <w:rsid w:val="00A779F6"/>
    <w:rsid w:val="00A77EC4"/>
    <w:rsid w:val="00A80822"/>
    <w:rsid w:val="00A81F1A"/>
    <w:rsid w:val="00A8213E"/>
    <w:rsid w:val="00A825F9"/>
    <w:rsid w:val="00A82940"/>
    <w:rsid w:val="00A83557"/>
    <w:rsid w:val="00A83677"/>
    <w:rsid w:val="00A839E4"/>
    <w:rsid w:val="00A83C62"/>
    <w:rsid w:val="00A84ACC"/>
    <w:rsid w:val="00A858F6"/>
    <w:rsid w:val="00A85C22"/>
    <w:rsid w:val="00A85F05"/>
    <w:rsid w:val="00A86D2D"/>
    <w:rsid w:val="00A86F32"/>
    <w:rsid w:val="00A87695"/>
    <w:rsid w:val="00A87C23"/>
    <w:rsid w:val="00A87D01"/>
    <w:rsid w:val="00A87D53"/>
    <w:rsid w:val="00A90EFA"/>
    <w:rsid w:val="00A91408"/>
    <w:rsid w:val="00A92879"/>
    <w:rsid w:val="00A92B65"/>
    <w:rsid w:val="00A938B1"/>
    <w:rsid w:val="00A93D90"/>
    <w:rsid w:val="00A9424A"/>
    <w:rsid w:val="00A9442A"/>
    <w:rsid w:val="00A95672"/>
    <w:rsid w:val="00A95F56"/>
    <w:rsid w:val="00A96117"/>
    <w:rsid w:val="00A9622E"/>
    <w:rsid w:val="00A96787"/>
    <w:rsid w:val="00A968EC"/>
    <w:rsid w:val="00A968ED"/>
    <w:rsid w:val="00A970A7"/>
    <w:rsid w:val="00A9723D"/>
    <w:rsid w:val="00A97C7B"/>
    <w:rsid w:val="00AA016F"/>
    <w:rsid w:val="00AA0A6D"/>
    <w:rsid w:val="00AA1B72"/>
    <w:rsid w:val="00AA1ED6"/>
    <w:rsid w:val="00AA1FA2"/>
    <w:rsid w:val="00AA27EB"/>
    <w:rsid w:val="00AA2AAD"/>
    <w:rsid w:val="00AA2C40"/>
    <w:rsid w:val="00AA51D6"/>
    <w:rsid w:val="00AA5E56"/>
    <w:rsid w:val="00AA5EDA"/>
    <w:rsid w:val="00AA6068"/>
    <w:rsid w:val="00AA625B"/>
    <w:rsid w:val="00AA6626"/>
    <w:rsid w:val="00AA6AD1"/>
    <w:rsid w:val="00AA6C24"/>
    <w:rsid w:val="00AA752C"/>
    <w:rsid w:val="00AA76D4"/>
    <w:rsid w:val="00AA7926"/>
    <w:rsid w:val="00AB09B0"/>
    <w:rsid w:val="00AB0BC8"/>
    <w:rsid w:val="00AB0D9D"/>
    <w:rsid w:val="00AB11CA"/>
    <w:rsid w:val="00AB127E"/>
    <w:rsid w:val="00AB1315"/>
    <w:rsid w:val="00AB14D9"/>
    <w:rsid w:val="00AB16C2"/>
    <w:rsid w:val="00AB1BAD"/>
    <w:rsid w:val="00AB1E9B"/>
    <w:rsid w:val="00AB1EE7"/>
    <w:rsid w:val="00AB2B97"/>
    <w:rsid w:val="00AB2F22"/>
    <w:rsid w:val="00AB370F"/>
    <w:rsid w:val="00AB3F89"/>
    <w:rsid w:val="00AB49A5"/>
    <w:rsid w:val="00AB4AB8"/>
    <w:rsid w:val="00AB5032"/>
    <w:rsid w:val="00AB5692"/>
    <w:rsid w:val="00AB5C49"/>
    <w:rsid w:val="00AB655E"/>
    <w:rsid w:val="00AB68E4"/>
    <w:rsid w:val="00AB70A9"/>
    <w:rsid w:val="00AB72EC"/>
    <w:rsid w:val="00AB772A"/>
    <w:rsid w:val="00AB7C0E"/>
    <w:rsid w:val="00AC007F"/>
    <w:rsid w:val="00AC0D7F"/>
    <w:rsid w:val="00AC11E8"/>
    <w:rsid w:val="00AC13FB"/>
    <w:rsid w:val="00AC1632"/>
    <w:rsid w:val="00AC1641"/>
    <w:rsid w:val="00AC2031"/>
    <w:rsid w:val="00AC234E"/>
    <w:rsid w:val="00AC2ECD"/>
    <w:rsid w:val="00AC304F"/>
    <w:rsid w:val="00AC3119"/>
    <w:rsid w:val="00AC338E"/>
    <w:rsid w:val="00AC3A5B"/>
    <w:rsid w:val="00AC42F7"/>
    <w:rsid w:val="00AC49FB"/>
    <w:rsid w:val="00AC5737"/>
    <w:rsid w:val="00AC590A"/>
    <w:rsid w:val="00AC5A10"/>
    <w:rsid w:val="00AC6254"/>
    <w:rsid w:val="00AC7369"/>
    <w:rsid w:val="00AC7F51"/>
    <w:rsid w:val="00AD011C"/>
    <w:rsid w:val="00AD0467"/>
    <w:rsid w:val="00AD0AA3"/>
    <w:rsid w:val="00AD11B0"/>
    <w:rsid w:val="00AD18CF"/>
    <w:rsid w:val="00AD1ACD"/>
    <w:rsid w:val="00AD28AB"/>
    <w:rsid w:val="00AD2B9A"/>
    <w:rsid w:val="00AD2CA4"/>
    <w:rsid w:val="00AD2ED0"/>
    <w:rsid w:val="00AD30CD"/>
    <w:rsid w:val="00AD3609"/>
    <w:rsid w:val="00AD37DB"/>
    <w:rsid w:val="00AD3A93"/>
    <w:rsid w:val="00AD3F94"/>
    <w:rsid w:val="00AD4735"/>
    <w:rsid w:val="00AD4A5A"/>
    <w:rsid w:val="00AD5551"/>
    <w:rsid w:val="00AD5E38"/>
    <w:rsid w:val="00AD6160"/>
    <w:rsid w:val="00AD617E"/>
    <w:rsid w:val="00AD68AE"/>
    <w:rsid w:val="00AD713C"/>
    <w:rsid w:val="00AD76F4"/>
    <w:rsid w:val="00AD78EF"/>
    <w:rsid w:val="00AD7BB9"/>
    <w:rsid w:val="00AD7D0C"/>
    <w:rsid w:val="00AE02F3"/>
    <w:rsid w:val="00AE0579"/>
    <w:rsid w:val="00AE0891"/>
    <w:rsid w:val="00AE09CC"/>
    <w:rsid w:val="00AE1520"/>
    <w:rsid w:val="00AE1C90"/>
    <w:rsid w:val="00AE226A"/>
    <w:rsid w:val="00AE27AC"/>
    <w:rsid w:val="00AE2E8D"/>
    <w:rsid w:val="00AE2ED6"/>
    <w:rsid w:val="00AE2F47"/>
    <w:rsid w:val="00AE3028"/>
    <w:rsid w:val="00AE3072"/>
    <w:rsid w:val="00AE36B3"/>
    <w:rsid w:val="00AE401C"/>
    <w:rsid w:val="00AE40E0"/>
    <w:rsid w:val="00AE45C1"/>
    <w:rsid w:val="00AE4AFE"/>
    <w:rsid w:val="00AE4BEB"/>
    <w:rsid w:val="00AE4DBA"/>
    <w:rsid w:val="00AE4F07"/>
    <w:rsid w:val="00AE5650"/>
    <w:rsid w:val="00AE5C4D"/>
    <w:rsid w:val="00AE6114"/>
    <w:rsid w:val="00AE62D4"/>
    <w:rsid w:val="00AE6F54"/>
    <w:rsid w:val="00AF0C4E"/>
    <w:rsid w:val="00AF0FFC"/>
    <w:rsid w:val="00AF1C5D"/>
    <w:rsid w:val="00AF243C"/>
    <w:rsid w:val="00AF30ED"/>
    <w:rsid w:val="00AF33A3"/>
    <w:rsid w:val="00AF37D6"/>
    <w:rsid w:val="00AF401B"/>
    <w:rsid w:val="00AF42D7"/>
    <w:rsid w:val="00AF47CE"/>
    <w:rsid w:val="00AF49DE"/>
    <w:rsid w:val="00AF515A"/>
    <w:rsid w:val="00AF5A96"/>
    <w:rsid w:val="00AF5C4E"/>
    <w:rsid w:val="00AF5EF2"/>
    <w:rsid w:val="00AF62FD"/>
    <w:rsid w:val="00AF6E89"/>
    <w:rsid w:val="00AF7C00"/>
    <w:rsid w:val="00AF7E71"/>
    <w:rsid w:val="00B00352"/>
    <w:rsid w:val="00B006FE"/>
    <w:rsid w:val="00B007CB"/>
    <w:rsid w:val="00B012DB"/>
    <w:rsid w:val="00B021D4"/>
    <w:rsid w:val="00B02AA9"/>
    <w:rsid w:val="00B02C58"/>
    <w:rsid w:val="00B02FA3"/>
    <w:rsid w:val="00B03031"/>
    <w:rsid w:val="00B037B1"/>
    <w:rsid w:val="00B0408A"/>
    <w:rsid w:val="00B04939"/>
    <w:rsid w:val="00B05084"/>
    <w:rsid w:val="00B0585A"/>
    <w:rsid w:val="00B05AD0"/>
    <w:rsid w:val="00B063B7"/>
    <w:rsid w:val="00B065A0"/>
    <w:rsid w:val="00B0680A"/>
    <w:rsid w:val="00B0766E"/>
    <w:rsid w:val="00B07B51"/>
    <w:rsid w:val="00B07B56"/>
    <w:rsid w:val="00B07DD4"/>
    <w:rsid w:val="00B10A52"/>
    <w:rsid w:val="00B11005"/>
    <w:rsid w:val="00B111B8"/>
    <w:rsid w:val="00B115BC"/>
    <w:rsid w:val="00B11658"/>
    <w:rsid w:val="00B11C9F"/>
    <w:rsid w:val="00B12B6C"/>
    <w:rsid w:val="00B1358C"/>
    <w:rsid w:val="00B15160"/>
    <w:rsid w:val="00B157F9"/>
    <w:rsid w:val="00B15C90"/>
    <w:rsid w:val="00B15D46"/>
    <w:rsid w:val="00B1692E"/>
    <w:rsid w:val="00B16D2F"/>
    <w:rsid w:val="00B17C30"/>
    <w:rsid w:val="00B20256"/>
    <w:rsid w:val="00B2051D"/>
    <w:rsid w:val="00B20D09"/>
    <w:rsid w:val="00B20DBD"/>
    <w:rsid w:val="00B224A8"/>
    <w:rsid w:val="00B22600"/>
    <w:rsid w:val="00B234DC"/>
    <w:rsid w:val="00B23531"/>
    <w:rsid w:val="00B237F3"/>
    <w:rsid w:val="00B241EE"/>
    <w:rsid w:val="00B2460C"/>
    <w:rsid w:val="00B25025"/>
    <w:rsid w:val="00B2573B"/>
    <w:rsid w:val="00B2763F"/>
    <w:rsid w:val="00B2773C"/>
    <w:rsid w:val="00B2774B"/>
    <w:rsid w:val="00B27838"/>
    <w:rsid w:val="00B27A5D"/>
    <w:rsid w:val="00B27AAC"/>
    <w:rsid w:val="00B27D36"/>
    <w:rsid w:val="00B301B9"/>
    <w:rsid w:val="00B30929"/>
    <w:rsid w:val="00B30B9D"/>
    <w:rsid w:val="00B315F0"/>
    <w:rsid w:val="00B3194F"/>
    <w:rsid w:val="00B33F29"/>
    <w:rsid w:val="00B340ED"/>
    <w:rsid w:val="00B34C0E"/>
    <w:rsid w:val="00B359C6"/>
    <w:rsid w:val="00B362EE"/>
    <w:rsid w:val="00B3684C"/>
    <w:rsid w:val="00B372AA"/>
    <w:rsid w:val="00B376DE"/>
    <w:rsid w:val="00B37806"/>
    <w:rsid w:val="00B40211"/>
    <w:rsid w:val="00B4033C"/>
    <w:rsid w:val="00B40445"/>
    <w:rsid w:val="00B40734"/>
    <w:rsid w:val="00B40804"/>
    <w:rsid w:val="00B409E0"/>
    <w:rsid w:val="00B41464"/>
    <w:rsid w:val="00B41888"/>
    <w:rsid w:val="00B421EE"/>
    <w:rsid w:val="00B42467"/>
    <w:rsid w:val="00B42844"/>
    <w:rsid w:val="00B42DEC"/>
    <w:rsid w:val="00B43019"/>
    <w:rsid w:val="00B438D6"/>
    <w:rsid w:val="00B43D9E"/>
    <w:rsid w:val="00B4480D"/>
    <w:rsid w:val="00B44E42"/>
    <w:rsid w:val="00B4544E"/>
    <w:rsid w:val="00B45A52"/>
    <w:rsid w:val="00B45C1D"/>
    <w:rsid w:val="00B45F7F"/>
    <w:rsid w:val="00B4607B"/>
    <w:rsid w:val="00B46175"/>
    <w:rsid w:val="00B46223"/>
    <w:rsid w:val="00B46372"/>
    <w:rsid w:val="00B46649"/>
    <w:rsid w:val="00B46769"/>
    <w:rsid w:val="00B467A2"/>
    <w:rsid w:val="00B46A8F"/>
    <w:rsid w:val="00B5010A"/>
    <w:rsid w:val="00B5182B"/>
    <w:rsid w:val="00B535D2"/>
    <w:rsid w:val="00B543F0"/>
    <w:rsid w:val="00B548B7"/>
    <w:rsid w:val="00B5520E"/>
    <w:rsid w:val="00B55AB4"/>
    <w:rsid w:val="00B56689"/>
    <w:rsid w:val="00B56798"/>
    <w:rsid w:val="00B56CA7"/>
    <w:rsid w:val="00B574ED"/>
    <w:rsid w:val="00B57DF3"/>
    <w:rsid w:val="00B6029F"/>
    <w:rsid w:val="00B60988"/>
    <w:rsid w:val="00B60C4D"/>
    <w:rsid w:val="00B60D44"/>
    <w:rsid w:val="00B61069"/>
    <w:rsid w:val="00B61599"/>
    <w:rsid w:val="00B62277"/>
    <w:rsid w:val="00B622A3"/>
    <w:rsid w:val="00B62D1C"/>
    <w:rsid w:val="00B630C3"/>
    <w:rsid w:val="00B637EE"/>
    <w:rsid w:val="00B639D3"/>
    <w:rsid w:val="00B63C65"/>
    <w:rsid w:val="00B63CAA"/>
    <w:rsid w:val="00B63D74"/>
    <w:rsid w:val="00B63F2A"/>
    <w:rsid w:val="00B642A0"/>
    <w:rsid w:val="00B6513A"/>
    <w:rsid w:val="00B65508"/>
    <w:rsid w:val="00B657B8"/>
    <w:rsid w:val="00B66109"/>
    <w:rsid w:val="00B662E7"/>
    <w:rsid w:val="00B664C7"/>
    <w:rsid w:val="00B67072"/>
    <w:rsid w:val="00B67F96"/>
    <w:rsid w:val="00B70BE2"/>
    <w:rsid w:val="00B70F60"/>
    <w:rsid w:val="00B712FE"/>
    <w:rsid w:val="00B713D8"/>
    <w:rsid w:val="00B7170F"/>
    <w:rsid w:val="00B718AF"/>
    <w:rsid w:val="00B724E7"/>
    <w:rsid w:val="00B728B3"/>
    <w:rsid w:val="00B72E04"/>
    <w:rsid w:val="00B73852"/>
    <w:rsid w:val="00B739F6"/>
    <w:rsid w:val="00B742CD"/>
    <w:rsid w:val="00B7435D"/>
    <w:rsid w:val="00B74B97"/>
    <w:rsid w:val="00B75419"/>
    <w:rsid w:val="00B755B7"/>
    <w:rsid w:val="00B75733"/>
    <w:rsid w:val="00B76B08"/>
    <w:rsid w:val="00B77072"/>
    <w:rsid w:val="00B77CFB"/>
    <w:rsid w:val="00B80108"/>
    <w:rsid w:val="00B80367"/>
    <w:rsid w:val="00B805B0"/>
    <w:rsid w:val="00B80E2A"/>
    <w:rsid w:val="00B816E1"/>
    <w:rsid w:val="00B81A6C"/>
    <w:rsid w:val="00B81E54"/>
    <w:rsid w:val="00B827F1"/>
    <w:rsid w:val="00B8297F"/>
    <w:rsid w:val="00B83C6B"/>
    <w:rsid w:val="00B83E59"/>
    <w:rsid w:val="00B85940"/>
    <w:rsid w:val="00B85DE5"/>
    <w:rsid w:val="00B8612A"/>
    <w:rsid w:val="00B861EC"/>
    <w:rsid w:val="00B8709D"/>
    <w:rsid w:val="00B874C4"/>
    <w:rsid w:val="00B877CA"/>
    <w:rsid w:val="00B87890"/>
    <w:rsid w:val="00B906D7"/>
    <w:rsid w:val="00B90F73"/>
    <w:rsid w:val="00B91269"/>
    <w:rsid w:val="00B92246"/>
    <w:rsid w:val="00B92BD4"/>
    <w:rsid w:val="00B93B59"/>
    <w:rsid w:val="00B93E13"/>
    <w:rsid w:val="00B9406A"/>
    <w:rsid w:val="00B9407B"/>
    <w:rsid w:val="00B94932"/>
    <w:rsid w:val="00B949DF"/>
    <w:rsid w:val="00B94BBB"/>
    <w:rsid w:val="00B950FB"/>
    <w:rsid w:val="00B9512B"/>
    <w:rsid w:val="00B95A11"/>
    <w:rsid w:val="00B964C0"/>
    <w:rsid w:val="00B96EEC"/>
    <w:rsid w:val="00B973D7"/>
    <w:rsid w:val="00B9796F"/>
    <w:rsid w:val="00BA02E8"/>
    <w:rsid w:val="00BA05DC"/>
    <w:rsid w:val="00BA0AD9"/>
    <w:rsid w:val="00BA1036"/>
    <w:rsid w:val="00BA171B"/>
    <w:rsid w:val="00BA1FF3"/>
    <w:rsid w:val="00BA2280"/>
    <w:rsid w:val="00BA2A08"/>
    <w:rsid w:val="00BA2BFD"/>
    <w:rsid w:val="00BA2D59"/>
    <w:rsid w:val="00BA30D6"/>
    <w:rsid w:val="00BA3568"/>
    <w:rsid w:val="00BA36D1"/>
    <w:rsid w:val="00BA483E"/>
    <w:rsid w:val="00BA4AA5"/>
    <w:rsid w:val="00BA51FA"/>
    <w:rsid w:val="00BA558D"/>
    <w:rsid w:val="00BA56D2"/>
    <w:rsid w:val="00BA5917"/>
    <w:rsid w:val="00BA709D"/>
    <w:rsid w:val="00BA743E"/>
    <w:rsid w:val="00BA76E0"/>
    <w:rsid w:val="00BB0F3B"/>
    <w:rsid w:val="00BB16FF"/>
    <w:rsid w:val="00BB1B6B"/>
    <w:rsid w:val="00BB1DE7"/>
    <w:rsid w:val="00BB2A25"/>
    <w:rsid w:val="00BB2D97"/>
    <w:rsid w:val="00BB3F42"/>
    <w:rsid w:val="00BB40AF"/>
    <w:rsid w:val="00BB4AFD"/>
    <w:rsid w:val="00BB4EA0"/>
    <w:rsid w:val="00BB51E9"/>
    <w:rsid w:val="00BB5310"/>
    <w:rsid w:val="00BB58B6"/>
    <w:rsid w:val="00BB6059"/>
    <w:rsid w:val="00BB668D"/>
    <w:rsid w:val="00BC03EF"/>
    <w:rsid w:val="00BC0FDC"/>
    <w:rsid w:val="00BC1116"/>
    <w:rsid w:val="00BC16C9"/>
    <w:rsid w:val="00BC18BC"/>
    <w:rsid w:val="00BC1CC6"/>
    <w:rsid w:val="00BC1DAA"/>
    <w:rsid w:val="00BC225D"/>
    <w:rsid w:val="00BC2A81"/>
    <w:rsid w:val="00BC2B0D"/>
    <w:rsid w:val="00BC3053"/>
    <w:rsid w:val="00BC3592"/>
    <w:rsid w:val="00BC3CDF"/>
    <w:rsid w:val="00BC3E93"/>
    <w:rsid w:val="00BC3FA2"/>
    <w:rsid w:val="00BC4132"/>
    <w:rsid w:val="00BC4157"/>
    <w:rsid w:val="00BC4D2E"/>
    <w:rsid w:val="00BC57C3"/>
    <w:rsid w:val="00BC65C0"/>
    <w:rsid w:val="00BC747E"/>
    <w:rsid w:val="00BD004A"/>
    <w:rsid w:val="00BD0324"/>
    <w:rsid w:val="00BD04C3"/>
    <w:rsid w:val="00BD0716"/>
    <w:rsid w:val="00BD0AAA"/>
    <w:rsid w:val="00BD25FF"/>
    <w:rsid w:val="00BD355C"/>
    <w:rsid w:val="00BD35B4"/>
    <w:rsid w:val="00BD3936"/>
    <w:rsid w:val="00BD3EE1"/>
    <w:rsid w:val="00BD3F34"/>
    <w:rsid w:val="00BD437B"/>
    <w:rsid w:val="00BD48AC"/>
    <w:rsid w:val="00BD5F1A"/>
    <w:rsid w:val="00BD62E1"/>
    <w:rsid w:val="00BD681D"/>
    <w:rsid w:val="00BD6F78"/>
    <w:rsid w:val="00BD75D4"/>
    <w:rsid w:val="00BD7A22"/>
    <w:rsid w:val="00BD7B59"/>
    <w:rsid w:val="00BE0352"/>
    <w:rsid w:val="00BE1210"/>
    <w:rsid w:val="00BE1234"/>
    <w:rsid w:val="00BE1399"/>
    <w:rsid w:val="00BE1958"/>
    <w:rsid w:val="00BE1AEF"/>
    <w:rsid w:val="00BE2FA6"/>
    <w:rsid w:val="00BE333F"/>
    <w:rsid w:val="00BE3415"/>
    <w:rsid w:val="00BE3949"/>
    <w:rsid w:val="00BE3F73"/>
    <w:rsid w:val="00BE51E4"/>
    <w:rsid w:val="00BE5240"/>
    <w:rsid w:val="00BE5829"/>
    <w:rsid w:val="00BE6E32"/>
    <w:rsid w:val="00BE7004"/>
    <w:rsid w:val="00BE7406"/>
    <w:rsid w:val="00BE7603"/>
    <w:rsid w:val="00BF0732"/>
    <w:rsid w:val="00BF1105"/>
    <w:rsid w:val="00BF195C"/>
    <w:rsid w:val="00BF26DE"/>
    <w:rsid w:val="00BF2C93"/>
    <w:rsid w:val="00BF3279"/>
    <w:rsid w:val="00BF3434"/>
    <w:rsid w:val="00BF3DEC"/>
    <w:rsid w:val="00BF41AE"/>
    <w:rsid w:val="00BF4211"/>
    <w:rsid w:val="00BF44B5"/>
    <w:rsid w:val="00BF52EF"/>
    <w:rsid w:val="00BF5347"/>
    <w:rsid w:val="00BF5399"/>
    <w:rsid w:val="00BF63FF"/>
    <w:rsid w:val="00BF6A71"/>
    <w:rsid w:val="00BF74C7"/>
    <w:rsid w:val="00BF7562"/>
    <w:rsid w:val="00BF7732"/>
    <w:rsid w:val="00BF79C9"/>
    <w:rsid w:val="00C00541"/>
    <w:rsid w:val="00C0081C"/>
    <w:rsid w:val="00C00E76"/>
    <w:rsid w:val="00C00F61"/>
    <w:rsid w:val="00C01502"/>
    <w:rsid w:val="00C015F1"/>
    <w:rsid w:val="00C01706"/>
    <w:rsid w:val="00C018E2"/>
    <w:rsid w:val="00C01AFC"/>
    <w:rsid w:val="00C01EC6"/>
    <w:rsid w:val="00C01F33"/>
    <w:rsid w:val="00C025BF"/>
    <w:rsid w:val="00C02CC6"/>
    <w:rsid w:val="00C03598"/>
    <w:rsid w:val="00C040F7"/>
    <w:rsid w:val="00C044AB"/>
    <w:rsid w:val="00C04C4D"/>
    <w:rsid w:val="00C05462"/>
    <w:rsid w:val="00C0554E"/>
    <w:rsid w:val="00C05706"/>
    <w:rsid w:val="00C068B7"/>
    <w:rsid w:val="00C06F85"/>
    <w:rsid w:val="00C07377"/>
    <w:rsid w:val="00C07C68"/>
    <w:rsid w:val="00C07E4D"/>
    <w:rsid w:val="00C07FF3"/>
    <w:rsid w:val="00C10478"/>
    <w:rsid w:val="00C10F16"/>
    <w:rsid w:val="00C11444"/>
    <w:rsid w:val="00C11E8C"/>
    <w:rsid w:val="00C12107"/>
    <w:rsid w:val="00C12814"/>
    <w:rsid w:val="00C135B1"/>
    <w:rsid w:val="00C136F4"/>
    <w:rsid w:val="00C13897"/>
    <w:rsid w:val="00C14906"/>
    <w:rsid w:val="00C14D4B"/>
    <w:rsid w:val="00C152B7"/>
    <w:rsid w:val="00C154BB"/>
    <w:rsid w:val="00C155AF"/>
    <w:rsid w:val="00C15AD5"/>
    <w:rsid w:val="00C15EA3"/>
    <w:rsid w:val="00C1622D"/>
    <w:rsid w:val="00C164C7"/>
    <w:rsid w:val="00C16EF8"/>
    <w:rsid w:val="00C17730"/>
    <w:rsid w:val="00C177BB"/>
    <w:rsid w:val="00C17EA2"/>
    <w:rsid w:val="00C17FA4"/>
    <w:rsid w:val="00C21419"/>
    <w:rsid w:val="00C21A8F"/>
    <w:rsid w:val="00C22207"/>
    <w:rsid w:val="00C2232A"/>
    <w:rsid w:val="00C2331A"/>
    <w:rsid w:val="00C23346"/>
    <w:rsid w:val="00C2353D"/>
    <w:rsid w:val="00C2397F"/>
    <w:rsid w:val="00C23EB7"/>
    <w:rsid w:val="00C23FFE"/>
    <w:rsid w:val="00C24066"/>
    <w:rsid w:val="00C2471F"/>
    <w:rsid w:val="00C24DA1"/>
    <w:rsid w:val="00C24DAF"/>
    <w:rsid w:val="00C24FC1"/>
    <w:rsid w:val="00C25F10"/>
    <w:rsid w:val="00C261E9"/>
    <w:rsid w:val="00C264E6"/>
    <w:rsid w:val="00C265B9"/>
    <w:rsid w:val="00C26913"/>
    <w:rsid w:val="00C27213"/>
    <w:rsid w:val="00C278F3"/>
    <w:rsid w:val="00C279B5"/>
    <w:rsid w:val="00C27C45"/>
    <w:rsid w:val="00C3018D"/>
    <w:rsid w:val="00C30545"/>
    <w:rsid w:val="00C306BB"/>
    <w:rsid w:val="00C3183E"/>
    <w:rsid w:val="00C32B22"/>
    <w:rsid w:val="00C32BD2"/>
    <w:rsid w:val="00C3316F"/>
    <w:rsid w:val="00C335A8"/>
    <w:rsid w:val="00C3466D"/>
    <w:rsid w:val="00C34A60"/>
    <w:rsid w:val="00C34C26"/>
    <w:rsid w:val="00C34C87"/>
    <w:rsid w:val="00C35BE1"/>
    <w:rsid w:val="00C369B9"/>
    <w:rsid w:val="00C3719D"/>
    <w:rsid w:val="00C3733E"/>
    <w:rsid w:val="00C37900"/>
    <w:rsid w:val="00C37CB2"/>
    <w:rsid w:val="00C402FB"/>
    <w:rsid w:val="00C40D49"/>
    <w:rsid w:val="00C41237"/>
    <w:rsid w:val="00C41A2C"/>
    <w:rsid w:val="00C41A40"/>
    <w:rsid w:val="00C41DC9"/>
    <w:rsid w:val="00C422DC"/>
    <w:rsid w:val="00C427DA"/>
    <w:rsid w:val="00C42967"/>
    <w:rsid w:val="00C434A3"/>
    <w:rsid w:val="00C43541"/>
    <w:rsid w:val="00C4354F"/>
    <w:rsid w:val="00C436D3"/>
    <w:rsid w:val="00C44272"/>
    <w:rsid w:val="00C44296"/>
    <w:rsid w:val="00C457E2"/>
    <w:rsid w:val="00C458D7"/>
    <w:rsid w:val="00C45912"/>
    <w:rsid w:val="00C45AF9"/>
    <w:rsid w:val="00C45D79"/>
    <w:rsid w:val="00C473A5"/>
    <w:rsid w:val="00C47A1B"/>
    <w:rsid w:val="00C51CFF"/>
    <w:rsid w:val="00C51D11"/>
    <w:rsid w:val="00C51FEE"/>
    <w:rsid w:val="00C52063"/>
    <w:rsid w:val="00C5250C"/>
    <w:rsid w:val="00C529E0"/>
    <w:rsid w:val="00C52BF6"/>
    <w:rsid w:val="00C52EA2"/>
    <w:rsid w:val="00C53434"/>
    <w:rsid w:val="00C535A7"/>
    <w:rsid w:val="00C53E7B"/>
    <w:rsid w:val="00C5414A"/>
    <w:rsid w:val="00C54995"/>
    <w:rsid w:val="00C54D41"/>
    <w:rsid w:val="00C54DC4"/>
    <w:rsid w:val="00C54E8B"/>
    <w:rsid w:val="00C560CD"/>
    <w:rsid w:val="00C5699E"/>
    <w:rsid w:val="00C60783"/>
    <w:rsid w:val="00C60933"/>
    <w:rsid w:val="00C6135A"/>
    <w:rsid w:val="00C61B32"/>
    <w:rsid w:val="00C61BF4"/>
    <w:rsid w:val="00C624B4"/>
    <w:rsid w:val="00C627F6"/>
    <w:rsid w:val="00C62B28"/>
    <w:rsid w:val="00C62C5E"/>
    <w:rsid w:val="00C633DF"/>
    <w:rsid w:val="00C64546"/>
    <w:rsid w:val="00C64672"/>
    <w:rsid w:val="00C652F6"/>
    <w:rsid w:val="00C654F7"/>
    <w:rsid w:val="00C655A3"/>
    <w:rsid w:val="00C65D2D"/>
    <w:rsid w:val="00C65E91"/>
    <w:rsid w:val="00C66387"/>
    <w:rsid w:val="00C665B2"/>
    <w:rsid w:val="00C66D43"/>
    <w:rsid w:val="00C678E7"/>
    <w:rsid w:val="00C6799A"/>
    <w:rsid w:val="00C67A3D"/>
    <w:rsid w:val="00C70297"/>
    <w:rsid w:val="00C70581"/>
    <w:rsid w:val="00C705D1"/>
    <w:rsid w:val="00C70697"/>
    <w:rsid w:val="00C710F1"/>
    <w:rsid w:val="00C711AB"/>
    <w:rsid w:val="00C71542"/>
    <w:rsid w:val="00C71B4D"/>
    <w:rsid w:val="00C72093"/>
    <w:rsid w:val="00C72EF4"/>
    <w:rsid w:val="00C73323"/>
    <w:rsid w:val="00C744FE"/>
    <w:rsid w:val="00C748FA"/>
    <w:rsid w:val="00C74D77"/>
    <w:rsid w:val="00C7577B"/>
    <w:rsid w:val="00C75C5E"/>
    <w:rsid w:val="00C75D2F"/>
    <w:rsid w:val="00C75E5E"/>
    <w:rsid w:val="00C767BE"/>
    <w:rsid w:val="00C76E3C"/>
    <w:rsid w:val="00C76ECF"/>
    <w:rsid w:val="00C76FD1"/>
    <w:rsid w:val="00C77495"/>
    <w:rsid w:val="00C80D0C"/>
    <w:rsid w:val="00C81568"/>
    <w:rsid w:val="00C81BA8"/>
    <w:rsid w:val="00C82615"/>
    <w:rsid w:val="00C836BB"/>
    <w:rsid w:val="00C837AA"/>
    <w:rsid w:val="00C83B7A"/>
    <w:rsid w:val="00C83EE4"/>
    <w:rsid w:val="00C848A7"/>
    <w:rsid w:val="00C85368"/>
    <w:rsid w:val="00C85CAC"/>
    <w:rsid w:val="00C86488"/>
    <w:rsid w:val="00C8659C"/>
    <w:rsid w:val="00C865CB"/>
    <w:rsid w:val="00C869B6"/>
    <w:rsid w:val="00C86C02"/>
    <w:rsid w:val="00C86C5D"/>
    <w:rsid w:val="00C8722A"/>
    <w:rsid w:val="00C9027A"/>
    <w:rsid w:val="00C9068E"/>
    <w:rsid w:val="00C90EF6"/>
    <w:rsid w:val="00C917BD"/>
    <w:rsid w:val="00C91BE3"/>
    <w:rsid w:val="00C920C8"/>
    <w:rsid w:val="00C932E1"/>
    <w:rsid w:val="00C93814"/>
    <w:rsid w:val="00C93C4B"/>
    <w:rsid w:val="00C944AB"/>
    <w:rsid w:val="00C95270"/>
    <w:rsid w:val="00C95423"/>
    <w:rsid w:val="00C95499"/>
    <w:rsid w:val="00C95B40"/>
    <w:rsid w:val="00C96305"/>
    <w:rsid w:val="00C969AF"/>
    <w:rsid w:val="00C96DD2"/>
    <w:rsid w:val="00C971EF"/>
    <w:rsid w:val="00C97BC7"/>
    <w:rsid w:val="00CA01BC"/>
    <w:rsid w:val="00CA0A46"/>
    <w:rsid w:val="00CA1ED8"/>
    <w:rsid w:val="00CA305A"/>
    <w:rsid w:val="00CA357E"/>
    <w:rsid w:val="00CA3EB9"/>
    <w:rsid w:val="00CA4E85"/>
    <w:rsid w:val="00CA5437"/>
    <w:rsid w:val="00CA5C78"/>
    <w:rsid w:val="00CA6640"/>
    <w:rsid w:val="00CA6DD0"/>
    <w:rsid w:val="00CA70AF"/>
    <w:rsid w:val="00CA7D58"/>
    <w:rsid w:val="00CB07D8"/>
    <w:rsid w:val="00CB1DEB"/>
    <w:rsid w:val="00CB1F63"/>
    <w:rsid w:val="00CB211F"/>
    <w:rsid w:val="00CB2269"/>
    <w:rsid w:val="00CB2BEE"/>
    <w:rsid w:val="00CB3F49"/>
    <w:rsid w:val="00CB4030"/>
    <w:rsid w:val="00CB4875"/>
    <w:rsid w:val="00CB4922"/>
    <w:rsid w:val="00CB56F1"/>
    <w:rsid w:val="00CB68EB"/>
    <w:rsid w:val="00CB6BAD"/>
    <w:rsid w:val="00CB6F63"/>
    <w:rsid w:val="00CB7170"/>
    <w:rsid w:val="00CB7889"/>
    <w:rsid w:val="00CB78BF"/>
    <w:rsid w:val="00CB7AF8"/>
    <w:rsid w:val="00CB7C83"/>
    <w:rsid w:val="00CB7F47"/>
    <w:rsid w:val="00CC040E"/>
    <w:rsid w:val="00CC109B"/>
    <w:rsid w:val="00CC111F"/>
    <w:rsid w:val="00CC1404"/>
    <w:rsid w:val="00CC2011"/>
    <w:rsid w:val="00CC2886"/>
    <w:rsid w:val="00CC29B0"/>
    <w:rsid w:val="00CC304D"/>
    <w:rsid w:val="00CC3523"/>
    <w:rsid w:val="00CC3EA0"/>
    <w:rsid w:val="00CC3FF1"/>
    <w:rsid w:val="00CC5230"/>
    <w:rsid w:val="00CC5541"/>
    <w:rsid w:val="00CC55D0"/>
    <w:rsid w:val="00CC5B5A"/>
    <w:rsid w:val="00CC5B85"/>
    <w:rsid w:val="00CC660A"/>
    <w:rsid w:val="00CC687A"/>
    <w:rsid w:val="00CC7B45"/>
    <w:rsid w:val="00CD026D"/>
    <w:rsid w:val="00CD0365"/>
    <w:rsid w:val="00CD03DA"/>
    <w:rsid w:val="00CD0B25"/>
    <w:rsid w:val="00CD1188"/>
    <w:rsid w:val="00CD2B63"/>
    <w:rsid w:val="00CD2ED1"/>
    <w:rsid w:val="00CD337B"/>
    <w:rsid w:val="00CD3DBF"/>
    <w:rsid w:val="00CD52CD"/>
    <w:rsid w:val="00CD5BB1"/>
    <w:rsid w:val="00CD5DF7"/>
    <w:rsid w:val="00CD62A6"/>
    <w:rsid w:val="00CD750F"/>
    <w:rsid w:val="00CE0325"/>
    <w:rsid w:val="00CE0424"/>
    <w:rsid w:val="00CE0FBE"/>
    <w:rsid w:val="00CE1B10"/>
    <w:rsid w:val="00CE23BF"/>
    <w:rsid w:val="00CE2409"/>
    <w:rsid w:val="00CE3291"/>
    <w:rsid w:val="00CE38F3"/>
    <w:rsid w:val="00CE3C17"/>
    <w:rsid w:val="00CE4210"/>
    <w:rsid w:val="00CE4787"/>
    <w:rsid w:val="00CE4AEB"/>
    <w:rsid w:val="00CE5893"/>
    <w:rsid w:val="00CE5A79"/>
    <w:rsid w:val="00CE5FF8"/>
    <w:rsid w:val="00CE6287"/>
    <w:rsid w:val="00CE669C"/>
    <w:rsid w:val="00CE6752"/>
    <w:rsid w:val="00CE6950"/>
    <w:rsid w:val="00CE7561"/>
    <w:rsid w:val="00CE79AC"/>
    <w:rsid w:val="00CE7C7A"/>
    <w:rsid w:val="00CE7E33"/>
    <w:rsid w:val="00CF0092"/>
    <w:rsid w:val="00CF0571"/>
    <w:rsid w:val="00CF0D11"/>
    <w:rsid w:val="00CF1016"/>
    <w:rsid w:val="00CF1354"/>
    <w:rsid w:val="00CF1AE0"/>
    <w:rsid w:val="00CF27F9"/>
    <w:rsid w:val="00CF2A13"/>
    <w:rsid w:val="00CF2BF8"/>
    <w:rsid w:val="00CF37FD"/>
    <w:rsid w:val="00CF3855"/>
    <w:rsid w:val="00CF3B1F"/>
    <w:rsid w:val="00CF3BF6"/>
    <w:rsid w:val="00CF423B"/>
    <w:rsid w:val="00CF444A"/>
    <w:rsid w:val="00CF44EA"/>
    <w:rsid w:val="00CF5522"/>
    <w:rsid w:val="00CF5E51"/>
    <w:rsid w:val="00CF625B"/>
    <w:rsid w:val="00CF6498"/>
    <w:rsid w:val="00CF687E"/>
    <w:rsid w:val="00CF6EE5"/>
    <w:rsid w:val="00CF6FFE"/>
    <w:rsid w:val="00CF707A"/>
    <w:rsid w:val="00CF7593"/>
    <w:rsid w:val="00CF781F"/>
    <w:rsid w:val="00CF7C62"/>
    <w:rsid w:val="00CF7D6A"/>
    <w:rsid w:val="00D0109F"/>
    <w:rsid w:val="00D01493"/>
    <w:rsid w:val="00D01EBE"/>
    <w:rsid w:val="00D01EC0"/>
    <w:rsid w:val="00D01F8E"/>
    <w:rsid w:val="00D02746"/>
    <w:rsid w:val="00D031A7"/>
    <w:rsid w:val="00D032AB"/>
    <w:rsid w:val="00D0349B"/>
    <w:rsid w:val="00D0362A"/>
    <w:rsid w:val="00D03741"/>
    <w:rsid w:val="00D03B6B"/>
    <w:rsid w:val="00D0536E"/>
    <w:rsid w:val="00D05C7B"/>
    <w:rsid w:val="00D06B2D"/>
    <w:rsid w:val="00D06D17"/>
    <w:rsid w:val="00D06ECB"/>
    <w:rsid w:val="00D076F0"/>
    <w:rsid w:val="00D07A6B"/>
    <w:rsid w:val="00D1014E"/>
    <w:rsid w:val="00D10249"/>
    <w:rsid w:val="00D1025D"/>
    <w:rsid w:val="00D10791"/>
    <w:rsid w:val="00D115C3"/>
    <w:rsid w:val="00D11897"/>
    <w:rsid w:val="00D11CB4"/>
    <w:rsid w:val="00D12277"/>
    <w:rsid w:val="00D129D8"/>
    <w:rsid w:val="00D13135"/>
    <w:rsid w:val="00D13E4E"/>
    <w:rsid w:val="00D14BA5"/>
    <w:rsid w:val="00D14E9E"/>
    <w:rsid w:val="00D14F14"/>
    <w:rsid w:val="00D14F95"/>
    <w:rsid w:val="00D159D9"/>
    <w:rsid w:val="00D160F7"/>
    <w:rsid w:val="00D161C0"/>
    <w:rsid w:val="00D1663A"/>
    <w:rsid w:val="00D20F80"/>
    <w:rsid w:val="00D21F59"/>
    <w:rsid w:val="00D227E5"/>
    <w:rsid w:val="00D23227"/>
    <w:rsid w:val="00D234CB"/>
    <w:rsid w:val="00D23731"/>
    <w:rsid w:val="00D239A7"/>
    <w:rsid w:val="00D23A40"/>
    <w:rsid w:val="00D23C7E"/>
    <w:rsid w:val="00D23D84"/>
    <w:rsid w:val="00D23F47"/>
    <w:rsid w:val="00D24187"/>
    <w:rsid w:val="00D24196"/>
    <w:rsid w:val="00D25889"/>
    <w:rsid w:val="00D2629A"/>
    <w:rsid w:val="00D2655B"/>
    <w:rsid w:val="00D26C24"/>
    <w:rsid w:val="00D270A8"/>
    <w:rsid w:val="00D279BC"/>
    <w:rsid w:val="00D27A70"/>
    <w:rsid w:val="00D315F5"/>
    <w:rsid w:val="00D3209A"/>
    <w:rsid w:val="00D32631"/>
    <w:rsid w:val="00D328D4"/>
    <w:rsid w:val="00D334A3"/>
    <w:rsid w:val="00D336F9"/>
    <w:rsid w:val="00D33F9C"/>
    <w:rsid w:val="00D3432F"/>
    <w:rsid w:val="00D34D9E"/>
    <w:rsid w:val="00D35C4B"/>
    <w:rsid w:val="00D35E02"/>
    <w:rsid w:val="00D3681C"/>
    <w:rsid w:val="00D36E71"/>
    <w:rsid w:val="00D36FA8"/>
    <w:rsid w:val="00D370E9"/>
    <w:rsid w:val="00D3794C"/>
    <w:rsid w:val="00D37D87"/>
    <w:rsid w:val="00D37DAF"/>
    <w:rsid w:val="00D37F38"/>
    <w:rsid w:val="00D4028F"/>
    <w:rsid w:val="00D40770"/>
    <w:rsid w:val="00D40B33"/>
    <w:rsid w:val="00D4125D"/>
    <w:rsid w:val="00D415CC"/>
    <w:rsid w:val="00D41944"/>
    <w:rsid w:val="00D420E9"/>
    <w:rsid w:val="00D42DC7"/>
    <w:rsid w:val="00D4318F"/>
    <w:rsid w:val="00D43488"/>
    <w:rsid w:val="00D438BF"/>
    <w:rsid w:val="00D43CF5"/>
    <w:rsid w:val="00D440F8"/>
    <w:rsid w:val="00D44B8C"/>
    <w:rsid w:val="00D4620A"/>
    <w:rsid w:val="00D46378"/>
    <w:rsid w:val="00D46650"/>
    <w:rsid w:val="00D46819"/>
    <w:rsid w:val="00D4683B"/>
    <w:rsid w:val="00D47C79"/>
    <w:rsid w:val="00D50FC9"/>
    <w:rsid w:val="00D53D08"/>
    <w:rsid w:val="00D546FF"/>
    <w:rsid w:val="00D54ACF"/>
    <w:rsid w:val="00D54E6F"/>
    <w:rsid w:val="00D55928"/>
    <w:rsid w:val="00D559C5"/>
    <w:rsid w:val="00D55A4C"/>
    <w:rsid w:val="00D55AD5"/>
    <w:rsid w:val="00D56C98"/>
    <w:rsid w:val="00D56E20"/>
    <w:rsid w:val="00D571B8"/>
    <w:rsid w:val="00D5732A"/>
    <w:rsid w:val="00D576CA"/>
    <w:rsid w:val="00D578ED"/>
    <w:rsid w:val="00D60C41"/>
    <w:rsid w:val="00D614D5"/>
    <w:rsid w:val="00D61663"/>
    <w:rsid w:val="00D61AF5"/>
    <w:rsid w:val="00D61B9E"/>
    <w:rsid w:val="00D623B7"/>
    <w:rsid w:val="00D62A07"/>
    <w:rsid w:val="00D639FB"/>
    <w:rsid w:val="00D63AD0"/>
    <w:rsid w:val="00D63B2B"/>
    <w:rsid w:val="00D63B5A"/>
    <w:rsid w:val="00D63CFB"/>
    <w:rsid w:val="00D63D79"/>
    <w:rsid w:val="00D642AC"/>
    <w:rsid w:val="00D64399"/>
    <w:rsid w:val="00D647E9"/>
    <w:rsid w:val="00D64E73"/>
    <w:rsid w:val="00D652B5"/>
    <w:rsid w:val="00D6590F"/>
    <w:rsid w:val="00D659BF"/>
    <w:rsid w:val="00D65A49"/>
    <w:rsid w:val="00D66155"/>
    <w:rsid w:val="00D66473"/>
    <w:rsid w:val="00D66605"/>
    <w:rsid w:val="00D66C2E"/>
    <w:rsid w:val="00D67A9E"/>
    <w:rsid w:val="00D67EC5"/>
    <w:rsid w:val="00D70190"/>
    <w:rsid w:val="00D708B0"/>
    <w:rsid w:val="00D72055"/>
    <w:rsid w:val="00D72518"/>
    <w:rsid w:val="00D72533"/>
    <w:rsid w:val="00D72990"/>
    <w:rsid w:val="00D736C1"/>
    <w:rsid w:val="00D7378B"/>
    <w:rsid w:val="00D746E9"/>
    <w:rsid w:val="00D7489F"/>
    <w:rsid w:val="00D74E65"/>
    <w:rsid w:val="00D7522E"/>
    <w:rsid w:val="00D75878"/>
    <w:rsid w:val="00D75D25"/>
    <w:rsid w:val="00D75D59"/>
    <w:rsid w:val="00D76616"/>
    <w:rsid w:val="00D77B1D"/>
    <w:rsid w:val="00D8021F"/>
    <w:rsid w:val="00D80383"/>
    <w:rsid w:val="00D80558"/>
    <w:rsid w:val="00D80BC1"/>
    <w:rsid w:val="00D81226"/>
    <w:rsid w:val="00D81450"/>
    <w:rsid w:val="00D81BEB"/>
    <w:rsid w:val="00D81C99"/>
    <w:rsid w:val="00D8211A"/>
    <w:rsid w:val="00D82187"/>
    <w:rsid w:val="00D82286"/>
    <w:rsid w:val="00D823C6"/>
    <w:rsid w:val="00D82ECF"/>
    <w:rsid w:val="00D82F12"/>
    <w:rsid w:val="00D8327F"/>
    <w:rsid w:val="00D83414"/>
    <w:rsid w:val="00D83B12"/>
    <w:rsid w:val="00D84977"/>
    <w:rsid w:val="00D84A3F"/>
    <w:rsid w:val="00D852F8"/>
    <w:rsid w:val="00D865F2"/>
    <w:rsid w:val="00D86A34"/>
    <w:rsid w:val="00D86CA3"/>
    <w:rsid w:val="00D871CE"/>
    <w:rsid w:val="00D87DE8"/>
    <w:rsid w:val="00D9196D"/>
    <w:rsid w:val="00D91C41"/>
    <w:rsid w:val="00D91D1E"/>
    <w:rsid w:val="00D9215D"/>
    <w:rsid w:val="00D92982"/>
    <w:rsid w:val="00D92C2C"/>
    <w:rsid w:val="00D92F8E"/>
    <w:rsid w:val="00D943F4"/>
    <w:rsid w:val="00D94466"/>
    <w:rsid w:val="00D94986"/>
    <w:rsid w:val="00D957F8"/>
    <w:rsid w:val="00D95D3A"/>
    <w:rsid w:val="00D95D71"/>
    <w:rsid w:val="00D95DF9"/>
    <w:rsid w:val="00D95E2E"/>
    <w:rsid w:val="00D96356"/>
    <w:rsid w:val="00D96774"/>
    <w:rsid w:val="00D969B8"/>
    <w:rsid w:val="00D96C16"/>
    <w:rsid w:val="00DA0339"/>
    <w:rsid w:val="00DA044F"/>
    <w:rsid w:val="00DA059C"/>
    <w:rsid w:val="00DA0C32"/>
    <w:rsid w:val="00DA10F4"/>
    <w:rsid w:val="00DA2025"/>
    <w:rsid w:val="00DA228A"/>
    <w:rsid w:val="00DA28B6"/>
    <w:rsid w:val="00DA2A84"/>
    <w:rsid w:val="00DA2CEA"/>
    <w:rsid w:val="00DA305E"/>
    <w:rsid w:val="00DA3067"/>
    <w:rsid w:val="00DA30D3"/>
    <w:rsid w:val="00DA31C6"/>
    <w:rsid w:val="00DA38F9"/>
    <w:rsid w:val="00DA47D1"/>
    <w:rsid w:val="00DA4B55"/>
    <w:rsid w:val="00DA4B6C"/>
    <w:rsid w:val="00DA4BC9"/>
    <w:rsid w:val="00DA4CD7"/>
    <w:rsid w:val="00DA4D3F"/>
    <w:rsid w:val="00DA52A2"/>
    <w:rsid w:val="00DA53AF"/>
    <w:rsid w:val="00DA53F2"/>
    <w:rsid w:val="00DA5417"/>
    <w:rsid w:val="00DA56E8"/>
    <w:rsid w:val="00DA5C78"/>
    <w:rsid w:val="00DA60AD"/>
    <w:rsid w:val="00DA67B2"/>
    <w:rsid w:val="00DA67E8"/>
    <w:rsid w:val="00DA6F03"/>
    <w:rsid w:val="00DA714D"/>
    <w:rsid w:val="00DA7469"/>
    <w:rsid w:val="00DB0599"/>
    <w:rsid w:val="00DB0A9F"/>
    <w:rsid w:val="00DB1400"/>
    <w:rsid w:val="00DB209A"/>
    <w:rsid w:val="00DB257A"/>
    <w:rsid w:val="00DB2BA7"/>
    <w:rsid w:val="00DB2E59"/>
    <w:rsid w:val="00DB377D"/>
    <w:rsid w:val="00DB3A75"/>
    <w:rsid w:val="00DB4EBF"/>
    <w:rsid w:val="00DB4F02"/>
    <w:rsid w:val="00DB5948"/>
    <w:rsid w:val="00DB5E24"/>
    <w:rsid w:val="00DB6C0C"/>
    <w:rsid w:val="00DB7445"/>
    <w:rsid w:val="00DB7599"/>
    <w:rsid w:val="00DB7936"/>
    <w:rsid w:val="00DC0061"/>
    <w:rsid w:val="00DC0215"/>
    <w:rsid w:val="00DC030E"/>
    <w:rsid w:val="00DC1A07"/>
    <w:rsid w:val="00DC1AEB"/>
    <w:rsid w:val="00DC1B46"/>
    <w:rsid w:val="00DC2D36"/>
    <w:rsid w:val="00DC5157"/>
    <w:rsid w:val="00DC52DC"/>
    <w:rsid w:val="00DC53EF"/>
    <w:rsid w:val="00DC5B52"/>
    <w:rsid w:val="00DC6099"/>
    <w:rsid w:val="00DC6107"/>
    <w:rsid w:val="00DC6555"/>
    <w:rsid w:val="00DC676F"/>
    <w:rsid w:val="00DC72EC"/>
    <w:rsid w:val="00DD04FE"/>
    <w:rsid w:val="00DD0D7E"/>
    <w:rsid w:val="00DD2092"/>
    <w:rsid w:val="00DD2114"/>
    <w:rsid w:val="00DD2336"/>
    <w:rsid w:val="00DD29D9"/>
    <w:rsid w:val="00DD2ABA"/>
    <w:rsid w:val="00DD2EE6"/>
    <w:rsid w:val="00DD3F49"/>
    <w:rsid w:val="00DD4333"/>
    <w:rsid w:val="00DD4477"/>
    <w:rsid w:val="00DD4BCB"/>
    <w:rsid w:val="00DD4C71"/>
    <w:rsid w:val="00DD4E48"/>
    <w:rsid w:val="00DD5027"/>
    <w:rsid w:val="00DD5134"/>
    <w:rsid w:val="00DD54A0"/>
    <w:rsid w:val="00DD5832"/>
    <w:rsid w:val="00DD6499"/>
    <w:rsid w:val="00DD67E3"/>
    <w:rsid w:val="00DD6B1F"/>
    <w:rsid w:val="00DD6CFF"/>
    <w:rsid w:val="00DD71C1"/>
    <w:rsid w:val="00DE0800"/>
    <w:rsid w:val="00DE10FC"/>
    <w:rsid w:val="00DE218C"/>
    <w:rsid w:val="00DE317F"/>
    <w:rsid w:val="00DE35F0"/>
    <w:rsid w:val="00DE3672"/>
    <w:rsid w:val="00DE3C0F"/>
    <w:rsid w:val="00DE3F11"/>
    <w:rsid w:val="00DE40FB"/>
    <w:rsid w:val="00DE4100"/>
    <w:rsid w:val="00DE46C1"/>
    <w:rsid w:val="00DE5096"/>
    <w:rsid w:val="00DE516A"/>
    <w:rsid w:val="00DE5608"/>
    <w:rsid w:val="00DE58D0"/>
    <w:rsid w:val="00DE654F"/>
    <w:rsid w:val="00DE6ABC"/>
    <w:rsid w:val="00DE6EBB"/>
    <w:rsid w:val="00DE7509"/>
    <w:rsid w:val="00DE773F"/>
    <w:rsid w:val="00DF09D7"/>
    <w:rsid w:val="00DF0B6E"/>
    <w:rsid w:val="00DF0D43"/>
    <w:rsid w:val="00DF1502"/>
    <w:rsid w:val="00DF15E0"/>
    <w:rsid w:val="00DF1D83"/>
    <w:rsid w:val="00DF2E9B"/>
    <w:rsid w:val="00DF3388"/>
    <w:rsid w:val="00DF3728"/>
    <w:rsid w:val="00DF37A0"/>
    <w:rsid w:val="00DF3A51"/>
    <w:rsid w:val="00DF3B8C"/>
    <w:rsid w:val="00DF3EA7"/>
    <w:rsid w:val="00DF456C"/>
    <w:rsid w:val="00DF504B"/>
    <w:rsid w:val="00DF5677"/>
    <w:rsid w:val="00DF5E03"/>
    <w:rsid w:val="00DF6207"/>
    <w:rsid w:val="00DF6D4D"/>
    <w:rsid w:val="00DF7293"/>
    <w:rsid w:val="00DF77EB"/>
    <w:rsid w:val="00E000D2"/>
    <w:rsid w:val="00E00162"/>
    <w:rsid w:val="00E00BFB"/>
    <w:rsid w:val="00E0107F"/>
    <w:rsid w:val="00E014C0"/>
    <w:rsid w:val="00E0152E"/>
    <w:rsid w:val="00E01C86"/>
    <w:rsid w:val="00E0264D"/>
    <w:rsid w:val="00E02F75"/>
    <w:rsid w:val="00E03DF2"/>
    <w:rsid w:val="00E03E25"/>
    <w:rsid w:val="00E03FCC"/>
    <w:rsid w:val="00E04302"/>
    <w:rsid w:val="00E04385"/>
    <w:rsid w:val="00E05242"/>
    <w:rsid w:val="00E05544"/>
    <w:rsid w:val="00E05980"/>
    <w:rsid w:val="00E06953"/>
    <w:rsid w:val="00E06BF7"/>
    <w:rsid w:val="00E071DB"/>
    <w:rsid w:val="00E07251"/>
    <w:rsid w:val="00E076F3"/>
    <w:rsid w:val="00E107A2"/>
    <w:rsid w:val="00E107A6"/>
    <w:rsid w:val="00E10AB6"/>
    <w:rsid w:val="00E110E7"/>
    <w:rsid w:val="00E112E2"/>
    <w:rsid w:val="00E11487"/>
    <w:rsid w:val="00E118D3"/>
    <w:rsid w:val="00E11B20"/>
    <w:rsid w:val="00E12925"/>
    <w:rsid w:val="00E129C4"/>
    <w:rsid w:val="00E13162"/>
    <w:rsid w:val="00E1366E"/>
    <w:rsid w:val="00E13B06"/>
    <w:rsid w:val="00E14207"/>
    <w:rsid w:val="00E14350"/>
    <w:rsid w:val="00E14982"/>
    <w:rsid w:val="00E14DB4"/>
    <w:rsid w:val="00E1577E"/>
    <w:rsid w:val="00E16390"/>
    <w:rsid w:val="00E17028"/>
    <w:rsid w:val="00E17FA2"/>
    <w:rsid w:val="00E20727"/>
    <w:rsid w:val="00E2090E"/>
    <w:rsid w:val="00E20D25"/>
    <w:rsid w:val="00E21DA1"/>
    <w:rsid w:val="00E22117"/>
    <w:rsid w:val="00E22330"/>
    <w:rsid w:val="00E224A6"/>
    <w:rsid w:val="00E22738"/>
    <w:rsid w:val="00E22915"/>
    <w:rsid w:val="00E22D57"/>
    <w:rsid w:val="00E23B8D"/>
    <w:rsid w:val="00E25B7F"/>
    <w:rsid w:val="00E25E45"/>
    <w:rsid w:val="00E25EEC"/>
    <w:rsid w:val="00E264A8"/>
    <w:rsid w:val="00E269E2"/>
    <w:rsid w:val="00E278F3"/>
    <w:rsid w:val="00E300BC"/>
    <w:rsid w:val="00E3013B"/>
    <w:rsid w:val="00E303CC"/>
    <w:rsid w:val="00E30981"/>
    <w:rsid w:val="00E30A6E"/>
    <w:rsid w:val="00E30B5A"/>
    <w:rsid w:val="00E31080"/>
    <w:rsid w:val="00E3123D"/>
    <w:rsid w:val="00E31461"/>
    <w:rsid w:val="00E31694"/>
    <w:rsid w:val="00E318BF"/>
    <w:rsid w:val="00E31D43"/>
    <w:rsid w:val="00E3254A"/>
    <w:rsid w:val="00E32608"/>
    <w:rsid w:val="00E32C88"/>
    <w:rsid w:val="00E32CD8"/>
    <w:rsid w:val="00E32D7B"/>
    <w:rsid w:val="00E32F33"/>
    <w:rsid w:val="00E332C7"/>
    <w:rsid w:val="00E334C4"/>
    <w:rsid w:val="00E34188"/>
    <w:rsid w:val="00E34B6E"/>
    <w:rsid w:val="00E34F5E"/>
    <w:rsid w:val="00E34FF8"/>
    <w:rsid w:val="00E35042"/>
    <w:rsid w:val="00E35559"/>
    <w:rsid w:val="00E35682"/>
    <w:rsid w:val="00E35B12"/>
    <w:rsid w:val="00E35D82"/>
    <w:rsid w:val="00E3723A"/>
    <w:rsid w:val="00E37860"/>
    <w:rsid w:val="00E37C2C"/>
    <w:rsid w:val="00E37C92"/>
    <w:rsid w:val="00E40181"/>
    <w:rsid w:val="00E402FF"/>
    <w:rsid w:val="00E40387"/>
    <w:rsid w:val="00E40392"/>
    <w:rsid w:val="00E40D01"/>
    <w:rsid w:val="00E40F29"/>
    <w:rsid w:val="00E41234"/>
    <w:rsid w:val="00E41417"/>
    <w:rsid w:val="00E414E3"/>
    <w:rsid w:val="00E41C07"/>
    <w:rsid w:val="00E4225B"/>
    <w:rsid w:val="00E423AD"/>
    <w:rsid w:val="00E42827"/>
    <w:rsid w:val="00E4334A"/>
    <w:rsid w:val="00E43976"/>
    <w:rsid w:val="00E43B0F"/>
    <w:rsid w:val="00E43C3C"/>
    <w:rsid w:val="00E446F1"/>
    <w:rsid w:val="00E4579F"/>
    <w:rsid w:val="00E465ED"/>
    <w:rsid w:val="00E46886"/>
    <w:rsid w:val="00E468C8"/>
    <w:rsid w:val="00E46943"/>
    <w:rsid w:val="00E47319"/>
    <w:rsid w:val="00E4754D"/>
    <w:rsid w:val="00E47AEF"/>
    <w:rsid w:val="00E47CF0"/>
    <w:rsid w:val="00E50B2D"/>
    <w:rsid w:val="00E51480"/>
    <w:rsid w:val="00E51FE8"/>
    <w:rsid w:val="00E52A0D"/>
    <w:rsid w:val="00E53236"/>
    <w:rsid w:val="00E53B75"/>
    <w:rsid w:val="00E53C8B"/>
    <w:rsid w:val="00E5449C"/>
    <w:rsid w:val="00E545F3"/>
    <w:rsid w:val="00E54910"/>
    <w:rsid w:val="00E54C6F"/>
    <w:rsid w:val="00E54E3B"/>
    <w:rsid w:val="00E55059"/>
    <w:rsid w:val="00E55375"/>
    <w:rsid w:val="00E55A1E"/>
    <w:rsid w:val="00E56363"/>
    <w:rsid w:val="00E57565"/>
    <w:rsid w:val="00E57893"/>
    <w:rsid w:val="00E60112"/>
    <w:rsid w:val="00E6130C"/>
    <w:rsid w:val="00E6138D"/>
    <w:rsid w:val="00E61450"/>
    <w:rsid w:val="00E617E1"/>
    <w:rsid w:val="00E61C7E"/>
    <w:rsid w:val="00E61FAF"/>
    <w:rsid w:val="00E631B2"/>
    <w:rsid w:val="00E63351"/>
    <w:rsid w:val="00E635A4"/>
    <w:rsid w:val="00E63838"/>
    <w:rsid w:val="00E63C59"/>
    <w:rsid w:val="00E6408F"/>
    <w:rsid w:val="00E64434"/>
    <w:rsid w:val="00E644D2"/>
    <w:rsid w:val="00E645F5"/>
    <w:rsid w:val="00E646AD"/>
    <w:rsid w:val="00E647CC"/>
    <w:rsid w:val="00E64E37"/>
    <w:rsid w:val="00E64EF8"/>
    <w:rsid w:val="00E64F34"/>
    <w:rsid w:val="00E64F67"/>
    <w:rsid w:val="00E654A5"/>
    <w:rsid w:val="00E65933"/>
    <w:rsid w:val="00E65AAA"/>
    <w:rsid w:val="00E65D37"/>
    <w:rsid w:val="00E66451"/>
    <w:rsid w:val="00E66AA6"/>
    <w:rsid w:val="00E66E81"/>
    <w:rsid w:val="00E67274"/>
    <w:rsid w:val="00E672BE"/>
    <w:rsid w:val="00E67374"/>
    <w:rsid w:val="00E6779E"/>
    <w:rsid w:val="00E67C51"/>
    <w:rsid w:val="00E7073B"/>
    <w:rsid w:val="00E70A07"/>
    <w:rsid w:val="00E70BBF"/>
    <w:rsid w:val="00E70C64"/>
    <w:rsid w:val="00E70FED"/>
    <w:rsid w:val="00E712A5"/>
    <w:rsid w:val="00E72EFC"/>
    <w:rsid w:val="00E7333C"/>
    <w:rsid w:val="00E74170"/>
    <w:rsid w:val="00E74856"/>
    <w:rsid w:val="00E758EC"/>
    <w:rsid w:val="00E7595B"/>
    <w:rsid w:val="00E75F01"/>
    <w:rsid w:val="00E7653A"/>
    <w:rsid w:val="00E7761F"/>
    <w:rsid w:val="00E77F5A"/>
    <w:rsid w:val="00E80037"/>
    <w:rsid w:val="00E8044A"/>
    <w:rsid w:val="00E80482"/>
    <w:rsid w:val="00E8078A"/>
    <w:rsid w:val="00E80B3A"/>
    <w:rsid w:val="00E813A1"/>
    <w:rsid w:val="00E81410"/>
    <w:rsid w:val="00E81940"/>
    <w:rsid w:val="00E81952"/>
    <w:rsid w:val="00E8234C"/>
    <w:rsid w:val="00E82811"/>
    <w:rsid w:val="00E82ACD"/>
    <w:rsid w:val="00E82E1A"/>
    <w:rsid w:val="00E838C6"/>
    <w:rsid w:val="00E839E6"/>
    <w:rsid w:val="00E83AA9"/>
    <w:rsid w:val="00E83C48"/>
    <w:rsid w:val="00E84491"/>
    <w:rsid w:val="00E8530B"/>
    <w:rsid w:val="00E85928"/>
    <w:rsid w:val="00E8630D"/>
    <w:rsid w:val="00E86673"/>
    <w:rsid w:val="00E86880"/>
    <w:rsid w:val="00E86FDB"/>
    <w:rsid w:val="00E87328"/>
    <w:rsid w:val="00E87822"/>
    <w:rsid w:val="00E87B83"/>
    <w:rsid w:val="00E87C9D"/>
    <w:rsid w:val="00E9002A"/>
    <w:rsid w:val="00E90395"/>
    <w:rsid w:val="00E90D93"/>
    <w:rsid w:val="00E90E49"/>
    <w:rsid w:val="00E91268"/>
    <w:rsid w:val="00E917F9"/>
    <w:rsid w:val="00E9291C"/>
    <w:rsid w:val="00E92A84"/>
    <w:rsid w:val="00E92F3D"/>
    <w:rsid w:val="00E93609"/>
    <w:rsid w:val="00E93751"/>
    <w:rsid w:val="00E93A7E"/>
    <w:rsid w:val="00E93FFE"/>
    <w:rsid w:val="00E94F8A"/>
    <w:rsid w:val="00E94FA7"/>
    <w:rsid w:val="00E95369"/>
    <w:rsid w:val="00E95A76"/>
    <w:rsid w:val="00E95D70"/>
    <w:rsid w:val="00E96268"/>
    <w:rsid w:val="00E967B7"/>
    <w:rsid w:val="00E978A1"/>
    <w:rsid w:val="00EA00FA"/>
    <w:rsid w:val="00EA0E0E"/>
    <w:rsid w:val="00EA0FB7"/>
    <w:rsid w:val="00EA1020"/>
    <w:rsid w:val="00EA1132"/>
    <w:rsid w:val="00EA14D4"/>
    <w:rsid w:val="00EA15E9"/>
    <w:rsid w:val="00EA165B"/>
    <w:rsid w:val="00EA1673"/>
    <w:rsid w:val="00EA28A4"/>
    <w:rsid w:val="00EA2EC9"/>
    <w:rsid w:val="00EA300D"/>
    <w:rsid w:val="00EA4990"/>
    <w:rsid w:val="00EA4AD7"/>
    <w:rsid w:val="00EA553C"/>
    <w:rsid w:val="00EA5953"/>
    <w:rsid w:val="00EA5ECC"/>
    <w:rsid w:val="00EA6026"/>
    <w:rsid w:val="00EA63B1"/>
    <w:rsid w:val="00EA75A3"/>
    <w:rsid w:val="00EA79FA"/>
    <w:rsid w:val="00EA7A41"/>
    <w:rsid w:val="00EA7A97"/>
    <w:rsid w:val="00EB077B"/>
    <w:rsid w:val="00EB0B32"/>
    <w:rsid w:val="00EB0FC1"/>
    <w:rsid w:val="00EB1700"/>
    <w:rsid w:val="00EB17BF"/>
    <w:rsid w:val="00EB21A7"/>
    <w:rsid w:val="00EB26D8"/>
    <w:rsid w:val="00EB27B4"/>
    <w:rsid w:val="00EB2B9F"/>
    <w:rsid w:val="00EB2EAD"/>
    <w:rsid w:val="00EB3403"/>
    <w:rsid w:val="00EB4634"/>
    <w:rsid w:val="00EB4BB4"/>
    <w:rsid w:val="00EB4EA2"/>
    <w:rsid w:val="00EB5525"/>
    <w:rsid w:val="00EB5AE7"/>
    <w:rsid w:val="00EB66A5"/>
    <w:rsid w:val="00EB66B8"/>
    <w:rsid w:val="00EB6BDC"/>
    <w:rsid w:val="00EB6F05"/>
    <w:rsid w:val="00EB7042"/>
    <w:rsid w:val="00EB74BD"/>
    <w:rsid w:val="00EB79A3"/>
    <w:rsid w:val="00EC0BA6"/>
    <w:rsid w:val="00EC221A"/>
    <w:rsid w:val="00EC24D5"/>
    <w:rsid w:val="00EC2725"/>
    <w:rsid w:val="00EC27C6"/>
    <w:rsid w:val="00EC2CBD"/>
    <w:rsid w:val="00EC301D"/>
    <w:rsid w:val="00EC3EE8"/>
    <w:rsid w:val="00EC4038"/>
    <w:rsid w:val="00EC4207"/>
    <w:rsid w:val="00EC4BD9"/>
    <w:rsid w:val="00EC5653"/>
    <w:rsid w:val="00EC5E44"/>
    <w:rsid w:val="00EC5E7F"/>
    <w:rsid w:val="00EC69D3"/>
    <w:rsid w:val="00EC71CE"/>
    <w:rsid w:val="00ED0154"/>
    <w:rsid w:val="00ED03DD"/>
    <w:rsid w:val="00ED0C35"/>
    <w:rsid w:val="00ED0D7F"/>
    <w:rsid w:val="00ED0E41"/>
    <w:rsid w:val="00ED0FA4"/>
    <w:rsid w:val="00ED1006"/>
    <w:rsid w:val="00ED1654"/>
    <w:rsid w:val="00ED22EE"/>
    <w:rsid w:val="00ED2431"/>
    <w:rsid w:val="00ED3068"/>
    <w:rsid w:val="00ED32FD"/>
    <w:rsid w:val="00ED37F0"/>
    <w:rsid w:val="00ED41B1"/>
    <w:rsid w:val="00ED6C0B"/>
    <w:rsid w:val="00ED6E14"/>
    <w:rsid w:val="00ED70C9"/>
    <w:rsid w:val="00EE16EA"/>
    <w:rsid w:val="00EE1BF1"/>
    <w:rsid w:val="00EE272E"/>
    <w:rsid w:val="00EE31C9"/>
    <w:rsid w:val="00EE31D5"/>
    <w:rsid w:val="00EE3385"/>
    <w:rsid w:val="00EE339B"/>
    <w:rsid w:val="00EE3473"/>
    <w:rsid w:val="00EE3BE6"/>
    <w:rsid w:val="00EE3ED9"/>
    <w:rsid w:val="00EE5971"/>
    <w:rsid w:val="00EE6460"/>
    <w:rsid w:val="00EE6909"/>
    <w:rsid w:val="00EE6C02"/>
    <w:rsid w:val="00EE75FA"/>
    <w:rsid w:val="00EE7884"/>
    <w:rsid w:val="00EF0098"/>
    <w:rsid w:val="00EF064C"/>
    <w:rsid w:val="00EF06CE"/>
    <w:rsid w:val="00EF099C"/>
    <w:rsid w:val="00EF0D27"/>
    <w:rsid w:val="00EF18FE"/>
    <w:rsid w:val="00EF1FF6"/>
    <w:rsid w:val="00EF2790"/>
    <w:rsid w:val="00EF3940"/>
    <w:rsid w:val="00EF45A2"/>
    <w:rsid w:val="00EF52EE"/>
    <w:rsid w:val="00EF5399"/>
    <w:rsid w:val="00EF5787"/>
    <w:rsid w:val="00EF5C69"/>
    <w:rsid w:val="00EF60D0"/>
    <w:rsid w:val="00EF64CA"/>
    <w:rsid w:val="00EF682D"/>
    <w:rsid w:val="00F0082B"/>
    <w:rsid w:val="00F01AD9"/>
    <w:rsid w:val="00F01E13"/>
    <w:rsid w:val="00F0327A"/>
    <w:rsid w:val="00F032A5"/>
    <w:rsid w:val="00F0338D"/>
    <w:rsid w:val="00F03DD7"/>
    <w:rsid w:val="00F040CC"/>
    <w:rsid w:val="00F041EE"/>
    <w:rsid w:val="00F04E07"/>
    <w:rsid w:val="00F0504F"/>
    <w:rsid w:val="00F0528D"/>
    <w:rsid w:val="00F06035"/>
    <w:rsid w:val="00F0675A"/>
    <w:rsid w:val="00F06865"/>
    <w:rsid w:val="00F06C67"/>
    <w:rsid w:val="00F06DFD"/>
    <w:rsid w:val="00F07024"/>
    <w:rsid w:val="00F070DE"/>
    <w:rsid w:val="00F071D1"/>
    <w:rsid w:val="00F07533"/>
    <w:rsid w:val="00F07CE4"/>
    <w:rsid w:val="00F10629"/>
    <w:rsid w:val="00F11388"/>
    <w:rsid w:val="00F11A38"/>
    <w:rsid w:val="00F125FD"/>
    <w:rsid w:val="00F129CF"/>
    <w:rsid w:val="00F131E0"/>
    <w:rsid w:val="00F137AE"/>
    <w:rsid w:val="00F14352"/>
    <w:rsid w:val="00F147C9"/>
    <w:rsid w:val="00F149BC"/>
    <w:rsid w:val="00F14CDB"/>
    <w:rsid w:val="00F156DC"/>
    <w:rsid w:val="00F15920"/>
    <w:rsid w:val="00F15967"/>
    <w:rsid w:val="00F15BB5"/>
    <w:rsid w:val="00F15FA5"/>
    <w:rsid w:val="00F171FB"/>
    <w:rsid w:val="00F17294"/>
    <w:rsid w:val="00F174C9"/>
    <w:rsid w:val="00F17F3C"/>
    <w:rsid w:val="00F20361"/>
    <w:rsid w:val="00F209B7"/>
    <w:rsid w:val="00F23499"/>
    <w:rsid w:val="00F2376F"/>
    <w:rsid w:val="00F23D8E"/>
    <w:rsid w:val="00F241F7"/>
    <w:rsid w:val="00F243D8"/>
    <w:rsid w:val="00F246F4"/>
    <w:rsid w:val="00F24A21"/>
    <w:rsid w:val="00F24EDB"/>
    <w:rsid w:val="00F2578B"/>
    <w:rsid w:val="00F25A31"/>
    <w:rsid w:val="00F261A8"/>
    <w:rsid w:val="00F2753A"/>
    <w:rsid w:val="00F2784C"/>
    <w:rsid w:val="00F27D2B"/>
    <w:rsid w:val="00F3006F"/>
    <w:rsid w:val="00F30828"/>
    <w:rsid w:val="00F30BC8"/>
    <w:rsid w:val="00F30C14"/>
    <w:rsid w:val="00F30CA2"/>
    <w:rsid w:val="00F30D8C"/>
    <w:rsid w:val="00F313D6"/>
    <w:rsid w:val="00F321DC"/>
    <w:rsid w:val="00F32C40"/>
    <w:rsid w:val="00F32E39"/>
    <w:rsid w:val="00F3369A"/>
    <w:rsid w:val="00F3380D"/>
    <w:rsid w:val="00F34BC3"/>
    <w:rsid w:val="00F35094"/>
    <w:rsid w:val="00F36753"/>
    <w:rsid w:val="00F367A3"/>
    <w:rsid w:val="00F36C31"/>
    <w:rsid w:val="00F36FB1"/>
    <w:rsid w:val="00F37098"/>
    <w:rsid w:val="00F3739A"/>
    <w:rsid w:val="00F37655"/>
    <w:rsid w:val="00F3766A"/>
    <w:rsid w:val="00F408B3"/>
    <w:rsid w:val="00F40BC3"/>
    <w:rsid w:val="00F40F0C"/>
    <w:rsid w:val="00F42E40"/>
    <w:rsid w:val="00F432E4"/>
    <w:rsid w:val="00F43AB4"/>
    <w:rsid w:val="00F43CEF"/>
    <w:rsid w:val="00F4412E"/>
    <w:rsid w:val="00F4423C"/>
    <w:rsid w:val="00F443EC"/>
    <w:rsid w:val="00F44415"/>
    <w:rsid w:val="00F44D70"/>
    <w:rsid w:val="00F450F5"/>
    <w:rsid w:val="00F45384"/>
    <w:rsid w:val="00F458C9"/>
    <w:rsid w:val="00F45A95"/>
    <w:rsid w:val="00F46562"/>
    <w:rsid w:val="00F468D8"/>
    <w:rsid w:val="00F47169"/>
    <w:rsid w:val="00F47447"/>
    <w:rsid w:val="00F4766C"/>
    <w:rsid w:val="00F47785"/>
    <w:rsid w:val="00F47898"/>
    <w:rsid w:val="00F47E42"/>
    <w:rsid w:val="00F500EA"/>
    <w:rsid w:val="00F501AA"/>
    <w:rsid w:val="00F5060E"/>
    <w:rsid w:val="00F507D1"/>
    <w:rsid w:val="00F519CE"/>
    <w:rsid w:val="00F51ADA"/>
    <w:rsid w:val="00F5219A"/>
    <w:rsid w:val="00F52BEA"/>
    <w:rsid w:val="00F54438"/>
    <w:rsid w:val="00F549E7"/>
    <w:rsid w:val="00F559B7"/>
    <w:rsid w:val="00F5645F"/>
    <w:rsid w:val="00F56A65"/>
    <w:rsid w:val="00F56DC6"/>
    <w:rsid w:val="00F56EFE"/>
    <w:rsid w:val="00F57349"/>
    <w:rsid w:val="00F57379"/>
    <w:rsid w:val="00F57EE2"/>
    <w:rsid w:val="00F60203"/>
    <w:rsid w:val="00F6027F"/>
    <w:rsid w:val="00F60537"/>
    <w:rsid w:val="00F607C5"/>
    <w:rsid w:val="00F60BC2"/>
    <w:rsid w:val="00F60DEA"/>
    <w:rsid w:val="00F60F8C"/>
    <w:rsid w:val="00F60FC0"/>
    <w:rsid w:val="00F6302A"/>
    <w:rsid w:val="00F63950"/>
    <w:rsid w:val="00F63E77"/>
    <w:rsid w:val="00F6410C"/>
    <w:rsid w:val="00F64A0E"/>
    <w:rsid w:val="00F64B94"/>
    <w:rsid w:val="00F64C2B"/>
    <w:rsid w:val="00F64FB6"/>
    <w:rsid w:val="00F650E8"/>
    <w:rsid w:val="00F651BE"/>
    <w:rsid w:val="00F655A7"/>
    <w:rsid w:val="00F658A5"/>
    <w:rsid w:val="00F658EC"/>
    <w:rsid w:val="00F66554"/>
    <w:rsid w:val="00F66D11"/>
    <w:rsid w:val="00F66EDD"/>
    <w:rsid w:val="00F67474"/>
    <w:rsid w:val="00F67D22"/>
    <w:rsid w:val="00F67D6D"/>
    <w:rsid w:val="00F67F53"/>
    <w:rsid w:val="00F703BE"/>
    <w:rsid w:val="00F704B8"/>
    <w:rsid w:val="00F71B2B"/>
    <w:rsid w:val="00F71F69"/>
    <w:rsid w:val="00F7224F"/>
    <w:rsid w:val="00F7246B"/>
    <w:rsid w:val="00F72B72"/>
    <w:rsid w:val="00F72D11"/>
    <w:rsid w:val="00F7345C"/>
    <w:rsid w:val="00F73800"/>
    <w:rsid w:val="00F74BB9"/>
    <w:rsid w:val="00F75582"/>
    <w:rsid w:val="00F75631"/>
    <w:rsid w:val="00F76085"/>
    <w:rsid w:val="00F76EFA"/>
    <w:rsid w:val="00F77191"/>
    <w:rsid w:val="00F804BE"/>
    <w:rsid w:val="00F81692"/>
    <w:rsid w:val="00F816A3"/>
    <w:rsid w:val="00F81786"/>
    <w:rsid w:val="00F817CE"/>
    <w:rsid w:val="00F81C2B"/>
    <w:rsid w:val="00F83404"/>
    <w:rsid w:val="00F83519"/>
    <w:rsid w:val="00F8380D"/>
    <w:rsid w:val="00F83C23"/>
    <w:rsid w:val="00F83DA8"/>
    <w:rsid w:val="00F83FB6"/>
    <w:rsid w:val="00F84074"/>
    <w:rsid w:val="00F841BC"/>
    <w:rsid w:val="00F8456C"/>
    <w:rsid w:val="00F84890"/>
    <w:rsid w:val="00F84945"/>
    <w:rsid w:val="00F859D8"/>
    <w:rsid w:val="00F868F5"/>
    <w:rsid w:val="00F86995"/>
    <w:rsid w:val="00F86DC5"/>
    <w:rsid w:val="00F87B10"/>
    <w:rsid w:val="00F90154"/>
    <w:rsid w:val="00F902B4"/>
    <w:rsid w:val="00F9056A"/>
    <w:rsid w:val="00F909C4"/>
    <w:rsid w:val="00F90F8D"/>
    <w:rsid w:val="00F916D9"/>
    <w:rsid w:val="00F91C78"/>
    <w:rsid w:val="00F91CDE"/>
    <w:rsid w:val="00F92001"/>
    <w:rsid w:val="00F92782"/>
    <w:rsid w:val="00F93658"/>
    <w:rsid w:val="00F93AA9"/>
    <w:rsid w:val="00F93F93"/>
    <w:rsid w:val="00F94259"/>
    <w:rsid w:val="00F94617"/>
    <w:rsid w:val="00F95366"/>
    <w:rsid w:val="00F95670"/>
    <w:rsid w:val="00F95A03"/>
    <w:rsid w:val="00F95EC9"/>
    <w:rsid w:val="00F96985"/>
    <w:rsid w:val="00F975AE"/>
    <w:rsid w:val="00F97838"/>
    <w:rsid w:val="00F97BBF"/>
    <w:rsid w:val="00FA0121"/>
    <w:rsid w:val="00FA1557"/>
    <w:rsid w:val="00FA1867"/>
    <w:rsid w:val="00FA1A7B"/>
    <w:rsid w:val="00FA1CD5"/>
    <w:rsid w:val="00FA1DC9"/>
    <w:rsid w:val="00FA2A45"/>
    <w:rsid w:val="00FA2AD4"/>
    <w:rsid w:val="00FA2BB3"/>
    <w:rsid w:val="00FA2DCC"/>
    <w:rsid w:val="00FA4231"/>
    <w:rsid w:val="00FA449A"/>
    <w:rsid w:val="00FA4CAA"/>
    <w:rsid w:val="00FA58CE"/>
    <w:rsid w:val="00FA6773"/>
    <w:rsid w:val="00FA6B4E"/>
    <w:rsid w:val="00FA70E5"/>
    <w:rsid w:val="00FA7597"/>
    <w:rsid w:val="00FA7BB1"/>
    <w:rsid w:val="00FA7E93"/>
    <w:rsid w:val="00FB0A73"/>
    <w:rsid w:val="00FB0F3B"/>
    <w:rsid w:val="00FB1406"/>
    <w:rsid w:val="00FB146B"/>
    <w:rsid w:val="00FB14E0"/>
    <w:rsid w:val="00FB17A2"/>
    <w:rsid w:val="00FB17AB"/>
    <w:rsid w:val="00FB1BEE"/>
    <w:rsid w:val="00FB1BFC"/>
    <w:rsid w:val="00FB20FF"/>
    <w:rsid w:val="00FB2936"/>
    <w:rsid w:val="00FB3695"/>
    <w:rsid w:val="00FB3BE3"/>
    <w:rsid w:val="00FB4C80"/>
    <w:rsid w:val="00FB5810"/>
    <w:rsid w:val="00FB58EE"/>
    <w:rsid w:val="00FB646D"/>
    <w:rsid w:val="00FB6A6A"/>
    <w:rsid w:val="00FB6EED"/>
    <w:rsid w:val="00FB7502"/>
    <w:rsid w:val="00FB7BAF"/>
    <w:rsid w:val="00FB7F23"/>
    <w:rsid w:val="00FC0099"/>
    <w:rsid w:val="00FC070D"/>
    <w:rsid w:val="00FC0B58"/>
    <w:rsid w:val="00FC13EA"/>
    <w:rsid w:val="00FC1BC8"/>
    <w:rsid w:val="00FC1EB4"/>
    <w:rsid w:val="00FC2546"/>
    <w:rsid w:val="00FC45B9"/>
    <w:rsid w:val="00FC4B9C"/>
    <w:rsid w:val="00FC53BC"/>
    <w:rsid w:val="00FC57D3"/>
    <w:rsid w:val="00FC5882"/>
    <w:rsid w:val="00FC5D55"/>
    <w:rsid w:val="00FC6BCE"/>
    <w:rsid w:val="00FC6EE4"/>
    <w:rsid w:val="00FC7361"/>
    <w:rsid w:val="00FC7429"/>
    <w:rsid w:val="00FD027C"/>
    <w:rsid w:val="00FD02BC"/>
    <w:rsid w:val="00FD0411"/>
    <w:rsid w:val="00FD07F6"/>
    <w:rsid w:val="00FD0864"/>
    <w:rsid w:val="00FD08A9"/>
    <w:rsid w:val="00FD10FA"/>
    <w:rsid w:val="00FD1EC8"/>
    <w:rsid w:val="00FD2DE7"/>
    <w:rsid w:val="00FD2F74"/>
    <w:rsid w:val="00FD2F9A"/>
    <w:rsid w:val="00FD3074"/>
    <w:rsid w:val="00FD34BA"/>
    <w:rsid w:val="00FD3609"/>
    <w:rsid w:val="00FD37DF"/>
    <w:rsid w:val="00FD44E5"/>
    <w:rsid w:val="00FD47ED"/>
    <w:rsid w:val="00FD4943"/>
    <w:rsid w:val="00FD4B32"/>
    <w:rsid w:val="00FD5364"/>
    <w:rsid w:val="00FD576D"/>
    <w:rsid w:val="00FD57AD"/>
    <w:rsid w:val="00FD59BD"/>
    <w:rsid w:val="00FD7200"/>
    <w:rsid w:val="00FD74DB"/>
    <w:rsid w:val="00FD7660"/>
    <w:rsid w:val="00FD7DD1"/>
    <w:rsid w:val="00FE047A"/>
    <w:rsid w:val="00FE0655"/>
    <w:rsid w:val="00FE0C9D"/>
    <w:rsid w:val="00FE0F49"/>
    <w:rsid w:val="00FE101A"/>
    <w:rsid w:val="00FE1DE3"/>
    <w:rsid w:val="00FE2229"/>
    <w:rsid w:val="00FE2365"/>
    <w:rsid w:val="00FE2851"/>
    <w:rsid w:val="00FE2C15"/>
    <w:rsid w:val="00FE3025"/>
    <w:rsid w:val="00FE37A3"/>
    <w:rsid w:val="00FE37D7"/>
    <w:rsid w:val="00FE3ECD"/>
    <w:rsid w:val="00FE413A"/>
    <w:rsid w:val="00FE4C7B"/>
    <w:rsid w:val="00FE6237"/>
    <w:rsid w:val="00FE6BB1"/>
    <w:rsid w:val="00FE722B"/>
    <w:rsid w:val="00FE72E0"/>
    <w:rsid w:val="00FE7336"/>
    <w:rsid w:val="00FE73FC"/>
    <w:rsid w:val="00FE76C3"/>
    <w:rsid w:val="00FE787C"/>
    <w:rsid w:val="00FE7AB6"/>
    <w:rsid w:val="00FF0988"/>
    <w:rsid w:val="00FF0B5C"/>
    <w:rsid w:val="00FF10B7"/>
    <w:rsid w:val="00FF1FEC"/>
    <w:rsid w:val="00FF204B"/>
    <w:rsid w:val="00FF2319"/>
    <w:rsid w:val="00FF24DB"/>
    <w:rsid w:val="00FF30F2"/>
    <w:rsid w:val="00FF3442"/>
    <w:rsid w:val="00FF3922"/>
    <w:rsid w:val="00FF3CDE"/>
    <w:rsid w:val="00FF4120"/>
    <w:rsid w:val="00FF45A5"/>
    <w:rsid w:val="00FF4747"/>
    <w:rsid w:val="00FF4E1F"/>
    <w:rsid w:val="00FF5C91"/>
    <w:rsid w:val="00FF6EF9"/>
    <w:rsid w:val="00FF7673"/>
    <w:rsid w:val="00FF7D77"/>
    <w:rsid w:val="03426141"/>
    <w:rsid w:val="0654C48C"/>
    <w:rsid w:val="1E415F1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3F4E50"/>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列出段落2,リスト段落,목록 단락,列出段落,목록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rsid w:val="008E72F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intend1">
    <w:name w:val="text intend 1"/>
    <w:basedOn w:val="Normal"/>
    <w:rsid w:val="004578B0"/>
    <w:pPr>
      <w:numPr>
        <w:numId w:val="21"/>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styleId="PlaceholderText">
    <w:name w:val="Placeholder Text"/>
    <w:basedOn w:val="DefaultParagraphFont"/>
    <w:uiPriority w:val="99"/>
    <w:semiHidden/>
    <w:rsid w:val="004578B0"/>
    <w:rPr>
      <w:color w:val="808080"/>
    </w:rPr>
  </w:style>
  <w:style w:type="character" w:customStyle="1" w:styleId="TALChar">
    <w:name w:val="TAL Char"/>
    <w:locked/>
    <w:rsid w:val="007C3D55"/>
    <w:rPr>
      <w:rFonts w:ascii="Arial" w:hAnsi="Arial"/>
      <w:sz w:val="18"/>
      <w:lang w:val="en-GB" w:eastAsia="en-US" w:bidi="ar-SA"/>
    </w:rPr>
  </w:style>
  <w:style w:type="paragraph" w:styleId="Revision">
    <w:name w:val="Revision"/>
    <w:hidden/>
    <w:uiPriority w:val="99"/>
    <w:semiHidden/>
    <w:rsid w:val="00922724"/>
    <w:rPr>
      <w:rFonts w:ascii="Arial" w:eastAsiaTheme="minorHAnsi" w:hAnsi="Arial" w:cstheme="minorBidi"/>
      <w:szCs w:val="22"/>
      <w:lang w:val="en-US" w:eastAsia="en-US"/>
    </w:rPr>
  </w:style>
  <w:style w:type="paragraph" w:styleId="NoSpacing">
    <w:name w:val="No Spacing"/>
    <w:uiPriority w:val="1"/>
    <w:qFormat/>
    <w:rsid w:val="002C5A84"/>
    <w:rPr>
      <w:rFonts w:ascii="Arial" w:eastAsiaTheme="minorHAnsi" w:hAnsi="Arial" w:cstheme="minorBidi"/>
      <w:szCs w:val="22"/>
      <w:lang w:val="en-US" w:eastAsia="en-US"/>
    </w:rPr>
  </w:style>
  <w:style w:type="paragraph" w:customStyle="1" w:styleId="3GPPNormalText">
    <w:name w:val="3GPP Normal Text"/>
    <w:basedOn w:val="BodyText"/>
    <w:link w:val="3GPPNormalTextChar"/>
    <w:qFormat/>
    <w:rsid w:val="00DA3067"/>
    <w:rPr>
      <w:rFonts w:ascii="Times New Roman" w:eastAsia="MS Mincho" w:hAnsi="Times New Roman" w:cs="Times New Roman"/>
      <w:sz w:val="22"/>
      <w:szCs w:val="24"/>
      <w:lang w:eastAsia="en-US"/>
    </w:rPr>
  </w:style>
  <w:style w:type="character" w:customStyle="1" w:styleId="3GPPNormalTextChar">
    <w:name w:val="3GPP Normal Text Char"/>
    <w:link w:val="3GPPNormalText"/>
    <w:qFormat/>
    <w:rsid w:val="00DA3067"/>
    <w:rPr>
      <w:rFonts w:ascii="Times New Roman" w:eastAsia="MS Mincho" w:hAnsi="Times New Roman"/>
      <w:sz w:val="22"/>
      <w:szCs w:val="24"/>
      <w:lang w:val="en-US" w:eastAsia="en-US"/>
    </w:rPr>
  </w:style>
  <w:style w:type="table" w:customStyle="1" w:styleId="TableGrid1">
    <w:name w:val="TableGrid1"/>
    <w:basedOn w:val="TableNormal"/>
    <w:next w:val="TableGrid"/>
    <w:qFormat/>
    <w:rsid w:val="00DA3067"/>
    <w:pPr>
      <w:spacing w:before="120" w:after="160" w:line="280" w:lineRule="atLeast"/>
      <w:jc w:val="both"/>
    </w:pPr>
    <w:rPr>
      <w:rFonts w:ascii="New York" w:eastAsia="Malgun Gothic"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26260">
      <w:bodyDiv w:val="1"/>
      <w:marLeft w:val="0"/>
      <w:marRight w:val="0"/>
      <w:marTop w:val="0"/>
      <w:marBottom w:val="0"/>
      <w:divBdr>
        <w:top w:val="none" w:sz="0" w:space="0" w:color="auto"/>
        <w:left w:val="none" w:sz="0" w:space="0" w:color="auto"/>
        <w:bottom w:val="none" w:sz="0" w:space="0" w:color="auto"/>
        <w:right w:val="none" w:sz="0" w:space="0" w:color="auto"/>
      </w:divBdr>
    </w:div>
    <w:div w:id="223182530">
      <w:bodyDiv w:val="1"/>
      <w:marLeft w:val="0"/>
      <w:marRight w:val="0"/>
      <w:marTop w:val="0"/>
      <w:marBottom w:val="0"/>
      <w:divBdr>
        <w:top w:val="none" w:sz="0" w:space="0" w:color="auto"/>
        <w:left w:val="none" w:sz="0" w:space="0" w:color="auto"/>
        <w:bottom w:val="none" w:sz="0" w:space="0" w:color="auto"/>
        <w:right w:val="none" w:sz="0" w:space="0" w:color="auto"/>
      </w:divBdr>
    </w:div>
    <w:div w:id="348874873">
      <w:bodyDiv w:val="1"/>
      <w:marLeft w:val="0"/>
      <w:marRight w:val="0"/>
      <w:marTop w:val="0"/>
      <w:marBottom w:val="0"/>
      <w:divBdr>
        <w:top w:val="none" w:sz="0" w:space="0" w:color="auto"/>
        <w:left w:val="none" w:sz="0" w:space="0" w:color="auto"/>
        <w:bottom w:val="none" w:sz="0" w:space="0" w:color="auto"/>
        <w:right w:val="none" w:sz="0" w:space="0" w:color="auto"/>
      </w:divBdr>
    </w:div>
    <w:div w:id="370960475">
      <w:bodyDiv w:val="1"/>
      <w:marLeft w:val="0"/>
      <w:marRight w:val="0"/>
      <w:marTop w:val="0"/>
      <w:marBottom w:val="0"/>
      <w:divBdr>
        <w:top w:val="none" w:sz="0" w:space="0" w:color="auto"/>
        <w:left w:val="none" w:sz="0" w:space="0" w:color="auto"/>
        <w:bottom w:val="none" w:sz="0" w:space="0" w:color="auto"/>
        <w:right w:val="none" w:sz="0" w:space="0" w:color="auto"/>
      </w:divBdr>
    </w:div>
    <w:div w:id="385569908">
      <w:bodyDiv w:val="1"/>
      <w:marLeft w:val="0"/>
      <w:marRight w:val="0"/>
      <w:marTop w:val="0"/>
      <w:marBottom w:val="0"/>
      <w:divBdr>
        <w:top w:val="none" w:sz="0" w:space="0" w:color="auto"/>
        <w:left w:val="none" w:sz="0" w:space="0" w:color="auto"/>
        <w:bottom w:val="none" w:sz="0" w:space="0" w:color="auto"/>
        <w:right w:val="none" w:sz="0" w:space="0" w:color="auto"/>
      </w:divBdr>
      <w:divsChild>
        <w:div w:id="359012781">
          <w:marLeft w:val="1267"/>
          <w:marRight w:val="0"/>
          <w:marTop w:val="160"/>
          <w:marBottom w:val="0"/>
          <w:divBdr>
            <w:top w:val="none" w:sz="0" w:space="0" w:color="auto"/>
            <w:left w:val="none" w:sz="0" w:space="0" w:color="auto"/>
            <w:bottom w:val="none" w:sz="0" w:space="0" w:color="auto"/>
            <w:right w:val="none" w:sz="0" w:space="0" w:color="auto"/>
          </w:divBdr>
        </w:div>
        <w:div w:id="402411002">
          <w:marLeft w:val="547"/>
          <w:marRight w:val="0"/>
          <w:marTop w:val="160"/>
          <w:marBottom w:val="0"/>
          <w:divBdr>
            <w:top w:val="none" w:sz="0" w:space="0" w:color="auto"/>
            <w:left w:val="none" w:sz="0" w:space="0" w:color="auto"/>
            <w:bottom w:val="none" w:sz="0" w:space="0" w:color="auto"/>
            <w:right w:val="none" w:sz="0" w:space="0" w:color="auto"/>
          </w:divBdr>
        </w:div>
        <w:div w:id="562957707">
          <w:marLeft w:val="850"/>
          <w:marRight w:val="0"/>
          <w:marTop w:val="160"/>
          <w:marBottom w:val="0"/>
          <w:divBdr>
            <w:top w:val="none" w:sz="0" w:space="0" w:color="auto"/>
            <w:left w:val="none" w:sz="0" w:space="0" w:color="auto"/>
            <w:bottom w:val="none" w:sz="0" w:space="0" w:color="auto"/>
            <w:right w:val="none" w:sz="0" w:space="0" w:color="auto"/>
          </w:divBdr>
        </w:div>
        <w:div w:id="1259486756">
          <w:marLeft w:val="850"/>
          <w:marRight w:val="0"/>
          <w:marTop w:val="160"/>
          <w:marBottom w:val="0"/>
          <w:divBdr>
            <w:top w:val="none" w:sz="0" w:space="0" w:color="auto"/>
            <w:left w:val="none" w:sz="0" w:space="0" w:color="auto"/>
            <w:bottom w:val="none" w:sz="0" w:space="0" w:color="auto"/>
            <w:right w:val="none" w:sz="0" w:space="0" w:color="auto"/>
          </w:divBdr>
        </w:div>
        <w:div w:id="1350571758">
          <w:marLeft w:val="850"/>
          <w:marRight w:val="0"/>
          <w:marTop w:val="160"/>
          <w:marBottom w:val="0"/>
          <w:divBdr>
            <w:top w:val="none" w:sz="0" w:space="0" w:color="auto"/>
            <w:left w:val="none" w:sz="0" w:space="0" w:color="auto"/>
            <w:bottom w:val="none" w:sz="0" w:space="0" w:color="auto"/>
            <w:right w:val="none" w:sz="0" w:space="0" w:color="auto"/>
          </w:divBdr>
        </w:div>
        <w:div w:id="1873767602">
          <w:marLeft w:val="850"/>
          <w:marRight w:val="0"/>
          <w:marTop w:val="160"/>
          <w:marBottom w:val="0"/>
          <w:divBdr>
            <w:top w:val="none" w:sz="0" w:space="0" w:color="auto"/>
            <w:left w:val="none" w:sz="0" w:space="0" w:color="auto"/>
            <w:bottom w:val="none" w:sz="0" w:space="0" w:color="auto"/>
            <w:right w:val="none" w:sz="0" w:space="0" w:color="auto"/>
          </w:divBdr>
        </w:div>
        <w:div w:id="1922249427">
          <w:marLeft w:val="1267"/>
          <w:marRight w:val="0"/>
          <w:marTop w:val="160"/>
          <w:marBottom w:val="0"/>
          <w:divBdr>
            <w:top w:val="none" w:sz="0" w:space="0" w:color="auto"/>
            <w:left w:val="none" w:sz="0" w:space="0" w:color="auto"/>
            <w:bottom w:val="none" w:sz="0" w:space="0" w:color="auto"/>
            <w:right w:val="none" w:sz="0" w:space="0" w:color="auto"/>
          </w:divBdr>
        </w:div>
        <w:div w:id="1959754005">
          <w:marLeft w:val="547"/>
          <w:marRight w:val="0"/>
          <w:marTop w:val="160"/>
          <w:marBottom w:val="0"/>
          <w:divBdr>
            <w:top w:val="none" w:sz="0" w:space="0" w:color="auto"/>
            <w:left w:val="none" w:sz="0" w:space="0" w:color="auto"/>
            <w:bottom w:val="none" w:sz="0" w:space="0" w:color="auto"/>
            <w:right w:val="none" w:sz="0" w:space="0" w:color="auto"/>
          </w:divBdr>
        </w:div>
        <w:div w:id="2044362260">
          <w:marLeft w:val="850"/>
          <w:marRight w:val="0"/>
          <w:marTop w:val="160"/>
          <w:marBottom w:val="0"/>
          <w:divBdr>
            <w:top w:val="none" w:sz="0" w:space="0" w:color="auto"/>
            <w:left w:val="none" w:sz="0" w:space="0" w:color="auto"/>
            <w:bottom w:val="none" w:sz="0" w:space="0" w:color="auto"/>
            <w:right w:val="none" w:sz="0" w:space="0" w:color="auto"/>
          </w:divBdr>
        </w:div>
      </w:divsChild>
    </w:div>
    <w:div w:id="536938294">
      <w:bodyDiv w:val="1"/>
      <w:marLeft w:val="0"/>
      <w:marRight w:val="0"/>
      <w:marTop w:val="0"/>
      <w:marBottom w:val="0"/>
      <w:divBdr>
        <w:top w:val="none" w:sz="0" w:space="0" w:color="auto"/>
        <w:left w:val="none" w:sz="0" w:space="0" w:color="auto"/>
        <w:bottom w:val="none" w:sz="0" w:space="0" w:color="auto"/>
        <w:right w:val="none" w:sz="0" w:space="0" w:color="auto"/>
      </w:divBdr>
      <w:divsChild>
        <w:div w:id="864058868">
          <w:marLeft w:val="850"/>
          <w:marRight w:val="0"/>
          <w:marTop w:val="160"/>
          <w:marBottom w:val="0"/>
          <w:divBdr>
            <w:top w:val="none" w:sz="0" w:space="0" w:color="auto"/>
            <w:left w:val="none" w:sz="0" w:space="0" w:color="auto"/>
            <w:bottom w:val="none" w:sz="0" w:space="0" w:color="auto"/>
            <w:right w:val="none" w:sz="0" w:space="0" w:color="auto"/>
          </w:divBdr>
        </w:div>
      </w:divsChild>
    </w:div>
    <w:div w:id="710690333">
      <w:bodyDiv w:val="1"/>
      <w:marLeft w:val="0"/>
      <w:marRight w:val="0"/>
      <w:marTop w:val="0"/>
      <w:marBottom w:val="0"/>
      <w:divBdr>
        <w:top w:val="none" w:sz="0" w:space="0" w:color="auto"/>
        <w:left w:val="none" w:sz="0" w:space="0" w:color="auto"/>
        <w:bottom w:val="none" w:sz="0" w:space="0" w:color="auto"/>
        <w:right w:val="none" w:sz="0" w:space="0" w:color="auto"/>
      </w:divBdr>
    </w:div>
    <w:div w:id="806241194">
      <w:bodyDiv w:val="1"/>
      <w:marLeft w:val="0"/>
      <w:marRight w:val="0"/>
      <w:marTop w:val="0"/>
      <w:marBottom w:val="0"/>
      <w:divBdr>
        <w:top w:val="none" w:sz="0" w:space="0" w:color="auto"/>
        <w:left w:val="none" w:sz="0" w:space="0" w:color="auto"/>
        <w:bottom w:val="none" w:sz="0" w:space="0" w:color="auto"/>
        <w:right w:val="none" w:sz="0" w:space="0" w:color="auto"/>
      </w:divBdr>
    </w:div>
    <w:div w:id="1005933919">
      <w:bodyDiv w:val="1"/>
      <w:marLeft w:val="0"/>
      <w:marRight w:val="0"/>
      <w:marTop w:val="0"/>
      <w:marBottom w:val="0"/>
      <w:divBdr>
        <w:top w:val="none" w:sz="0" w:space="0" w:color="auto"/>
        <w:left w:val="none" w:sz="0" w:space="0" w:color="auto"/>
        <w:bottom w:val="none" w:sz="0" w:space="0" w:color="auto"/>
        <w:right w:val="none" w:sz="0" w:space="0" w:color="auto"/>
      </w:divBdr>
    </w:div>
    <w:div w:id="1078403993">
      <w:bodyDiv w:val="1"/>
      <w:marLeft w:val="0"/>
      <w:marRight w:val="0"/>
      <w:marTop w:val="0"/>
      <w:marBottom w:val="0"/>
      <w:divBdr>
        <w:top w:val="none" w:sz="0" w:space="0" w:color="auto"/>
        <w:left w:val="none" w:sz="0" w:space="0" w:color="auto"/>
        <w:bottom w:val="none" w:sz="0" w:space="0" w:color="auto"/>
        <w:right w:val="none" w:sz="0" w:space="0" w:color="auto"/>
      </w:divBdr>
      <w:divsChild>
        <w:div w:id="706755175">
          <w:marLeft w:val="418"/>
          <w:marRight w:val="0"/>
          <w:marTop w:val="160"/>
          <w:marBottom w:val="0"/>
          <w:divBdr>
            <w:top w:val="none" w:sz="0" w:space="0" w:color="auto"/>
            <w:left w:val="none" w:sz="0" w:space="0" w:color="auto"/>
            <w:bottom w:val="none" w:sz="0" w:space="0" w:color="auto"/>
            <w:right w:val="none" w:sz="0" w:space="0" w:color="auto"/>
          </w:divBdr>
        </w:div>
        <w:div w:id="1859730908">
          <w:marLeft w:val="418"/>
          <w:marRight w:val="0"/>
          <w:marTop w:val="160"/>
          <w:marBottom w:val="0"/>
          <w:divBdr>
            <w:top w:val="none" w:sz="0" w:space="0" w:color="auto"/>
            <w:left w:val="none" w:sz="0" w:space="0" w:color="auto"/>
            <w:bottom w:val="none" w:sz="0" w:space="0" w:color="auto"/>
            <w:right w:val="none" w:sz="0" w:space="0" w:color="auto"/>
          </w:divBdr>
        </w:div>
      </w:divsChild>
    </w:div>
    <w:div w:id="1119691204">
      <w:bodyDiv w:val="1"/>
      <w:marLeft w:val="0"/>
      <w:marRight w:val="0"/>
      <w:marTop w:val="0"/>
      <w:marBottom w:val="0"/>
      <w:divBdr>
        <w:top w:val="none" w:sz="0" w:space="0" w:color="auto"/>
        <w:left w:val="none" w:sz="0" w:space="0" w:color="auto"/>
        <w:bottom w:val="none" w:sz="0" w:space="0" w:color="auto"/>
        <w:right w:val="none" w:sz="0" w:space="0" w:color="auto"/>
      </w:divBdr>
    </w:div>
    <w:div w:id="1146510131">
      <w:bodyDiv w:val="1"/>
      <w:marLeft w:val="0"/>
      <w:marRight w:val="0"/>
      <w:marTop w:val="0"/>
      <w:marBottom w:val="0"/>
      <w:divBdr>
        <w:top w:val="none" w:sz="0" w:space="0" w:color="auto"/>
        <w:left w:val="none" w:sz="0" w:space="0" w:color="auto"/>
        <w:bottom w:val="none" w:sz="0" w:space="0" w:color="auto"/>
        <w:right w:val="none" w:sz="0" w:space="0" w:color="auto"/>
      </w:divBdr>
    </w:div>
    <w:div w:id="1185485330">
      <w:bodyDiv w:val="1"/>
      <w:marLeft w:val="0"/>
      <w:marRight w:val="0"/>
      <w:marTop w:val="0"/>
      <w:marBottom w:val="0"/>
      <w:divBdr>
        <w:top w:val="none" w:sz="0" w:space="0" w:color="auto"/>
        <w:left w:val="none" w:sz="0" w:space="0" w:color="auto"/>
        <w:bottom w:val="none" w:sz="0" w:space="0" w:color="auto"/>
        <w:right w:val="none" w:sz="0" w:space="0" w:color="auto"/>
      </w:divBdr>
    </w:div>
    <w:div w:id="1313948480">
      <w:bodyDiv w:val="1"/>
      <w:marLeft w:val="0"/>
      <w:marRight w:val="0"/>
      <w:marTop w:val="0"/>
      <w:marBottom w:val="0"/>
      <w:divBdr>
        <w:top w:val="none" w:sz="0" w:space="0" w:color="auto"/>
        <w:left w:val="none" w:sz="0" w:space="0" w:color="auto"/>
        <w:bottom w:val="none" w:sz="0" w:space="0" w:color="auto"/>
        <w:right w:val="none" w:sz="0" w:space="0" w:color="auto"/>
      </w:divBdr>
    </w:div>
    <w:div w:id="1396858041">
      <w:bodyDiv w:val="1"/>
      <w:marLeft w:val="0"/>
      <w:marRight w:val="0"/>
      <w:marTop w:val="0"/>
      <w:marBottom w:val="0"/>
      <w:divBdr>
        <w:top w:val="none" w:sz="0" w:space="0" w:color="auto"/>
        <w:left w:val="none" w:sz="0" w:space="0" w:color="auto"/>
        <w:bottom w:val="none" w:sz="0" w:space="0" w:color="auto"/>
        <w:right w:val="none" w:sz="0" w:space="0" w:color="auto"/>
      </w:divBdr>
      <w:divsChild>
        <w:div w:id="1465856232">
          <w:marLeft w:val="418"/>
          <w:marRight w:val="0"/>
          <w:marTop w:val="160"/>
          <w:marBottom w:val="0"/>
          <w:divBdr>
            <w:top w:val="none" w:sz="0" w:space="0" w:color="auto"/>
            <w:left w:val="none" w:sz="0" w:space="0" w:color="auto"/>
            <w:bottom w:val="none" w:sz="0" w:space="0" w:color="auto"/>
            <w:right w:val="none" w:sz="0" w:space="0" w:color="auto"/>
          </w:divBdr>
        </w:div>
      </w:divsChild>
    </w:div>
    <w:div w:id="1541089831">
      <w:bodyDiv w:val="1"/>
      <w:marLeft w:val="0"/>
      <w:marRight w:val="0"/>
      <w:marTop w:val="0"/>
      <w:marBottom w:val="0"/>
      <w:divBdr>
        <w:top w:val="none" w:sz="0" w:space="0" w:color="auto"/>
        <w:left w:val="none" w:sz="0" w:space="0" w:color="auto"/>
        <w:bottom w:val="none" w:sz="0" w:space="0" w:color="auto"/>
        <w:right w:val="none" w:sz="0" w:space="0" w:color="auto"/>
      </w:divBdr>
      <w:divsChild>
        <w:div w:id="429618213">
          <w:marLeft w:val="0"/>
          <w:marRight w:val="0"/>
          <w:marTop w:val="0"/>
          <w:marBottom w:val="0"/>
          <w:divBdr>
            <w:top w:val="none" w:sz="0" w:space="0" w:color="auto"/>
            <w:left w:val="none" w:sz="0" w:space="0" w:color="auto"/>
            <w:bottom w:val="none" w:sz="0" w:space="0" w:color="auto"/>
            <w:right w:val="none" w:sz="0" w:space="0" w:color="auto"/>
          </w:divBdr>
          <w:divsChild>
            <w:div w:id="773942397">
              <w:marLeft w:val="0"/>
              <w:marRight w:val="0"/>
              <w:marTop w:val="0"/>
              <w:marBottom w:val="0"/>
              <w:divBdr>
                <w:top w:val="none" w:sz="0" w:space="0" w:color="auto"/>
                <w:left w:val="none" w:sz="0" w:space="0" w:color="auto"/>
                <w:bottom w:val="none" w:sz="0" w:space="0" w:color="auto"/>
                <w:right w:val="none" w:sz="0" w:space="0" w:color="auto"/>
              </w:divBdr>
              <w:divsChild>
                <w:div w:id="363360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680284">
          <w:marLeft w:val="0"/>
          <w:marRight w:val="0"/>
          <w:marTop w:val="0"/>
          <w:marBottom w:val="0"/>
          <w:divBdr>
            <w:top w:val="none" w:sz="0" w:space="0" w:color="auto"/>
            <w:left w:val="none" w:sz="0" w:space="0" w:color="auto"/>
            <w:bottom w:val="none" w:sz="0" w:space="0" w:color="auto"/>
            <w:right w:val="none" w:sz="0" w:space="0" w:color="auto"/>
          </w:divBdr>
        </w:div>
      </w:divsChild>
    </w:div>
    <w:div w:id="1553810882">
      <w:bodyDiv w:val="1"/>
      <w:marLeft w:val="0"/>
      <w:marRight w:val="0"/>
      <w:marTop w:val="0"/>
      <w:marBottom w:val="0"/>
      <w:divBdr>
        <w:top w:val="none" w:sz="0" w:space="0" w:color="auto"/>
        <w:left w:val="none" w:sz="0" w:space="0" w:color="auto"/>
        <w:bottom w:val="none" w:sz="0" w:space="0" w:color="auto"/>
        <w:right w:val="none" w:sz="0" w:space="0" w:color="auto"/>
      </w:divBdr>
    </w:div>
    <w:div w:id="1592198010">
      <w:bodyDiv w:val="1"/>
      <w:marLeft w:val="0"/>
      <w:marRight w:val="0"/>
      <w:marTop w:val="0"/>
      <w:marBottom w:val="0"/>
      <w:divBdr>
        <w:top w:val="none" w:sz="0" w:space="0" w:color="auto"/>
        <w:left w:val="none" w:sz="0" w:space="0" w:color="auto"/>
        <w:bottom w:val="none" w:sz="0" w:space="0" w:color="auto"/>
        <w:right w:val="none" w:sz="0" w:space="0" w:color="auto"/>
      </w:divBdr>
    </w:div>
    <w:div w:id="1743402650">
      <w:bodyDiv w:val="1"/>
      <w:marLeft w:val="0"/>
      <w:marRight w:val="0"/>
      <w:marTop w:val="0"/>
      <w:marBottom w:val="0"/>
      <w:divBdr>
        <w:top w:val="none" w:sz="0" w:space="0" w:color="auto"/>
        <w:left w:val="none" w:sz="0" w:space="0" w:color="auto"/>
        <w:bottom w:val="none" w:sz="0" w:space="0" w:color="auto"/>
        <w:right w:val="none" w:sz="0" w:space="0" w:color="auto"/>
      </w:divBdr>
      <w:divsChild>
        <w:div w:id="46539346">
          <w:marLeft w:val="1267"/>
          <w:marRight w:val="0"/>
          <w:marTop w:val="160"/>
          <w:marBottom w:val="0"/>
          <w:divBdr>
            <w:top w:val="none" w:sz="0" w:space="0" w:color="auto"/>
            <w:left w:val="none" w:sz="0" w:space="0" w:color="auto"/>
            <w:bottom w:val="none" w:sz="0" w:space="0" w:color="auto"/>
            <w:right w:val="none" w:sz="0" w:space="0" w:color="auto"/>
          </w:divBdr>
        </w:div>
        <w:div w:id="561524543">
          <w:marLeft w:val="1267"/>
          <w:marRight w:val="0"/>
          <w:marTop w:val="160"/>
          <w:marBottom w:val="0"/>
          <w:divBdr>
            <w:top w:val="none" w:sz="0" w:space="0" w:color="auto"/>
            <w:left w:val="none" w:sz="0" w:space="0" w:color="auto"/>
            <w:bottom w:val="none" w:sz="0" w:space="0" w:color="auto"/>
            <w:right w:val="none" w:sz="0" w:space="0" w:color="auto"/>
          </w:divBdr>
        </w:div>
        <w:div w:id="1134176956">
          <w:marLeft w:val="850"/>
          <w:marRight w:val="0"/>
          <w:marTop w:val="160"/>
          <w:marBottom w:val="0"/>
          <w:divBdr>
            <w:top w:val="none" w:sz="0" w:space="0" w:color="auto"/>
            <w:left w:val="none" w:sz="0" w:space="0" w:color="auto"/>
            <w:bottom w:val="none" w:sz="0" w:space="0" w:color="auto"/>
            <w:right w:val="none" w:sz="0" w:space="0" w:color="auto"/>
          </w:divBdr>
        </w:div>
        <w:div w:id="1160270168">
          <w:marLeft w:val="850"/>
          <w:marRight w:val="0"/>
          <w:marTop w:val="160"/>
          <w:marBottom w:val="0"/>
          <w:divBdr>
            <w:top w:val="none" w:sz="0" w:space="0" w:color="auto"/>
            <w:left w:val="none" w:sz="0" w:space="0" w:color="auto"/>
            <w:bottom w:val="none" w:sz="0" w:space="0" w:color="auto"/>
            <w:right w:val="none" w:sz="0" w:space="0" w:color="auto"/>
          </w:divBdr>
        </w:div>
        <w:div w:id="1199706746">
          <w:marLeft w:val="1699"/>
          <w:marRight w:val="0"/>
          <w:marTop w:val="160"/>
          <w:marBottom w:val="0"/>
          <w:divBdr>
            <w:top w:val="none" w:sz="0" w:space="0" w:color="auto"/>
            <w:left w:val="none" w:sz="0" w:space="0" w:color="auto"/>
            <w:bottom w:val="none" w:sz="0" w:space="0" w:color="auto"/>
            <w:right w:val="none" w:sz="0" w:space="0" w:color="auto"/>
          </w:divBdr>
        </w:div>
        <w:div w:id="1577737468">
          <w:marLeft w:val="547"/>
          <w:marRight w:val="0"/>
          <w:marTop w:val="160"/>
          <w:marBottom w:val="0"/>
          <w:divBdr>
            <w:top w:val="none" w:sz="0" w:space="0" w:color="auto"/>
            <w:left w:val="none" w:sz="0" w:space="0" w:color="auto"/>
            <w:bottom w:val="none" w:sz="0" w:space="0" w:color="auto"/>
            <w:right w:val="none" w:sz="0" w:space="0" w:color="auto"/>
          </w:divBdr>
        </w:div>
      </w:divsChild>
    </w:div>
    <w:div w:id="1744916113">
      <w:bodyDiv w:val="1"/>
      <w:marLeft w:val="0"/>
      <w:marRight w:val="0"/>
      <w:marTop w:val="0"/>
      <w:marBottom w:val="0"/>
      <w:divBdr>
        <w:top w:val="none" w:sz="0" w:space="0" w:color="auto"/>
        <w:left w:val="none" w:sz="0" w:space="0" w:color="auto"/>
        <w:bottom w:val="none" w:sz="0" w:space="0" w:color="auto"/>
        <w:right w:val="none" w:sz="0" w:space="0" w:color="auto"/>
      </w:divBdr>
      <w:divsChild>
        <w:div w:id="174073403">
          <w:marLeft w:val="850"/>
          <w:marRight w:val="0"/>
          <w:marTop w:val="160"/>
          <w:marBottom w:val="0"/>
          <w:divBdr>
            <w:top w:val="none" w:sz="0" w:space="0" w:color="auto"/>
            <w:left w:val="none" w:sz="0" w:space="0" w:color="auto"/>
            <w:bottom w:val="none" w:sz="0" w:space="0" w:color="auto"/>
            <w:right w:val="none" w:sz="0" w:space="0" w:color="auto"/>
          </w:divBdr>
        </w:div>
        <w:div w:id="249242916">
          <w:marLeft w:val="850"/>
          <w:marRight w:val="0"/>
          <w:marTop w:val="160"/>
          <w:marBottom w:val="0"/>
          <w:divBdr>
            <w:top w:val="none" w:sz="0" w:space="0" w:color="auto"/>
            <w:left w:val="none" w:sz="0" w:space="0" w:color="auto"/>
            <w:bottom w:val="none" w:sz="0" w:space="0" w:color="auto"/>
            <w:right w:val="none" w:sz="0" w:space="0" w:color="auto"/>
          </w:divBdr>
        </w:div>
        <w:div w:id="310865380">
          <w:marLeft w:val="850"/>
          <w:marRight w:val="0"/>
          <w:marTop w:val="160"/>
          <w:marBottom w:val="0"/>
          <w:divBdr>
            <w:top w:val="none" w:sz="0" w:space="0" w:color="auto"/>
            <w:left w:val="none" w:sz="0" w:space="0" w:color="auto"/>
            <w:bottom w:val="none" w:sz="0" w:space="0" w:color="auto"/>
            <w:right w:val="none" w:sz="0" w:space="0" w:color="auto"/>
          </w:divBdr>
        </w:div>
        <w:div w:id="457452405">
          <w:marLeft w:val="850"/>
          <w:marRight w:val="0"/>
          <w:marTop w:val="160"/>
          <w:marBottom w:val="0"/>
          <w:divBdr>
            <w:top w:val="none" w:sz="0" w:space="0" w:color="auto"/>
            <w:left w:val="none" w:sz="0" w:space="0" w:color="auto"/>
            <w:bottom w:val="none" w:sz="0" w:space="0" w:color="auto"/>
            <w:right w:val="none" w:sz="0" w:space="0" w:color="auto"/>
          </w:divBdr>
        </w:div>
        <w:div w:id="615332031">
          <w:marLeft w:val="850"/>
          <w:marRight w:val="0"/>
          <w:marTop w:val="160"/>
          <w:marBottom w:val="0"/>
          <w:divBdr>
            <w:top w:val="none" w:sz="0" w:space="0" w:color="auto"/>
            <w:left w:val="none" w:sz="0" w:space="0" w:color="auto"/>
            <w:bottom w:val="none" w:sz="0" w:space="0" w:color="auto"/>
            <w:right w:val="none" w:sz="0" w:space="0" w:color="auto"/>
          </w:divBdr>
        </w:div>
        <w:div w:id="2018925877">
          <w:marLeft w:val="850"/>
          <w:marRight w:val="0"/>
          <w:marTop w:val="160"/>
          <w:marBottom w:val="0"/>
          <w:divBdr>
            <w:top w:val="none" w:sz="0" w:space="0" w:color="auto"/>
            <w:left w:val="none" w:sz="0" w:space="0" w:color="auto"/>
            <w:bottom w:val="none" w:sz="0" w:space="0" w:color="auto"/>
            <w:right w:val="none" w:sz="0" w:space="0" w:color="auto"/>
          </w:divBdr>
        </w:div>
      </w:divsChild>
    </w:div>
    <w:div w:id="1777485858">
      <w:bodyDiv w:val="1"/>
      <w:marLeft w:val="0"/>
      <w:marRight w:val="0"/>
      <w:marTop w:val="0"/>
      <w:marBottom w:val="0"/>
      <w:divBdr>
        <w:top w:val="none" w:sz="0" w:space="0" w:color="auto"/>
        <w:left w:val="none" w:sz="0" w:space="0" w:color="auto"/>
        <w:bottom w:val="none" w:sz="0" w:space="0" w:color="auto"/>
        <w:right w:val="none" w:sz="0" w:space="0" w:color="auto"/>
      </w:divBdr>
      <w:divsChild>
        <w:div w:id="199124068">
          <w:marLeft w:val="850"/>
          <w:marRight w:val="0"/>
          <w:marTop w:val="160"/>
          <w:marBottom w:val="0"/>
          <w:divBdr>
            <w:top w:val="none" w:sz="0" w:space="0" w:color="auto"/>
            <w:left w:val="none" w:sz="0" w:space="0" w:color="auto"/>
            <w:bottom w:val="none" w:sz="0" w:space="0" w:color="auto"/>
            <w:right w:val="none" w:sz="0" w:space="0" w:color="auto"/>
          </w:divBdr>
        </w:div>
      </w:divsChild>
    </w:div>
    <w:div w:id="177937432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emf"/><Relationship Id="rId21" Type="http://schemas.openxmlformats.org/officeDocument/2006/relationships/image" Target="media/image14.emf"/><Relationship Id="rId42" Type="http://schemas.openxmlformats.org/officeDocument/2006/relationships/image" Target="media/image35.emf"/><Relationship Id="rId47" Type="http://schemas.openxmlformats.org/officeDocument/2006/relationships/image" Target="media/image40.emf"/><Relationship Id="rId63" Type="http://schemas.openxmlformats.org/officeDocument/2006/relationships/image" Target="media/image56.emf"/><Relationship Id="rId68" Type="http://schemas.openxmlformats.org/officeDocument/2006/relationships/image" Target="media/image61.emf"/><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2.emf"/><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30.emf"/><Relationship Id="rId40" Type="http://schemas.openxmlformats.org/officeDocument/2006/relationships/image" Target="media/image33.emf"/><Relationship Id="rId45" Type="http://schemas.openxmlformats.org/officeDocument/2006/relationships/image" Target="media/image38.emf"/><Relationship Id="rId53" Type="http://schemas.openxmlformats.org/officeDocument/2006/relationships/image" Target="media/image46.emf"/><Relationship Id="rId58" Type="http://schemas.openxmlformats.org/officeDocument/2006/relationships/image" Target="media/image51.emf"/><Relationship Id="rId66" Type="http://schemas.openxmlformats.org/officeDocument/2006/relationships/image" Target="media/image59.emf"/><Relationship Id="rId74"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54.emf"/><Relationship Id="rId19" Type="http://schemas.openxmlformats.org/officeDocument/2006/relationships/image" Target="media/image1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 Id="rId43" Type="http://schemas.openxmlformats.org/officeDocument/2006/relationships/image" Target="media/image36.emf"/><Relationship Id="rId48" Type="http://schemas.openxmlformats.org/officeDocument/2006/relationships/image" Target="media/image41.emf"/><Relationship Id="rId56" Type="http://schemas.openxmlformats.org/officeDocument/2006/relationships/image" Target="media/image49.emf"/><Relationship Id="rId64" Type="http://schemas.openxmlformats.org/officeDocument/2006/relationships/image" Target="media/image57.emf"/><Relationship Id="rId69" Type="http://schemas.openxmlformats.org/officeDocument/2006/relationships/image" Target="media/image62.png"/><Relationship Id="rId8" Type="http://schemas.openxmlformats.org/officeDocument/2006/relationships/image" Target="media/image1.png"/><Relationship Id="rId51" Type="http://schemas.openxmlformats.org/officeDocument/2006/relationships/image" Target="media/image44.emf"/><Relationship Id="rId72" Type="http://schemas.openxmlformats.org/officeDocument/2006/relationships/image" Target="media/image65.png"/><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31.emf"/><Relationship Id="rId46" Type="http://schemas.openxmlformats.org/officeDocument/2006/relationships/image" Target="media/image39.emf"/><Relationship Id="rId59" Type="http://schemas.openxmlformats.org/officeDocument/2006/relationships/image" Target="media/image52.emf"/><Relationship Id="rId67" Type="http://schemas.openxmlformats.org/officeDocument/2006/relationships/image" Target="media/image60.emf"/><Relationship Id="rId20" Type="http://schemas.openxmlformats.org/officeDocument/2006/relationships/image" Target="media/image13.emf"/><Relationship Id="rId41" Type="http://schemas.openxmlformats.org/officeDocument/2006/relationships/image" Target="media/image34.emf"/><Relationship Id="rId54" Type="http://schemas.openxmlformats.org/officeDocument/2006/relationships/image" Target="media/image47.emf"/><Relationship Id="rId62" Type="http://schemas.openxmlformats.org/officeDocument/2006/relationships/image" Target="media/image55.emf"/><Relationship Id="rId70" Type="http://schemas.openxmlformats.org/officeDocument/2006/relationships/image" Target="media/image63.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9.emf"/><Relationship Id="rId49" Type="http://schemas.openxmlformats.org/officeDocument/2006/relationships/image" Target="media/image42.emf"/><Relationship Id="rId57" Type="http://schemas.openxmlformats.org/officeDocument/2006/relationships/image" Target="media/image50.emf"/><Relationship Id="rId10" Type="http://schemas.openxmlformats.org/officeDocument/2006/relationships/image" Target="media/image3.emf"/><Relationship Id="rId31" Type="http://schemas.openxmlformats.org/officeDocument/2006/relationships/image" Target="media/image24.emf"/><Relationship Id="rId44" Type="http://schemas.openxmlformats.org/officeDocument/2006/relationships/image" Target="media/image37.emf"/><Relationship Id="rId52" Type="http://schemas.openxmlformats.org/officeDocument/2006/relationships/image" Target="media/image45.emf"/><Relationship Id="rId60" Type="http://schemas.openxmlformats.org/officeDocument/2006/relationships/image" Target="media/image53.emf"/><Relationship Id="rId65" Type="http://schemas.openxmlformats.org/officeDocument/2006/relationships/image" Target="media/image58.emf"/><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image" Target="media/image11.emf"/><Relationship Id="rId39" Type="http://schemas.openxmlformats.org/officeDocument/2006/relationships/image" Target="media/image32.emf"/><Relationship Id="rId34" Type="http://schemas.openxmlformats.org/officeDocument/2006/relationships/image" Target="media/image27.emf"/><Relationship Id="rId50" Type="http://schemas.openxmlformats.org/officeDocument/2006/relationships/image" Target="media/image43.emf"/><Relationship Id="rId55" Type="http://schemas.openxmlformats.org/officeDocument/2006/relationships/image" Target="media/image48.emf"/><Relationship Id="rId7" Type="http://schemas.openxmlformats.org/officeDocument/2006/relationships/endnotes" Target="endnotes.xml"/><Relationship Id="rId71" Type="http://schemas.openxmlformats.org/officeDocument/2006/relationships/image" Target="media/image6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91259C-3ED5-4431-832D-590B5259D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7608</Words>
  <Characters>40378</Characters>
  <Application>Microsoft Office Word</Application>
  <DocSecurity>0</DocSecurity>
  <Lines>336</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47891</CharactersWithSpaces>
  <SharedDoc>false</SharedDoc>
  <HLinks>
    <vt:vector size="240" baseType="variant">
      <vt:variant>
        <vt:i4>1835071</vt:i4>
      </vt:variant>
      <vt:variant>
        <vt:i4>167</vt:i4>
      </vt:variant>
      <vt:variant>
        <vt:i4>0</vt:i4>
      </vt:variant>
      <vt:variant>
        <vt:i4>5</vt:i4>
      </vt:variant>
      <vt:variant>
        <vt:lpwstr/>
      </vt:variant>
      <vt:variant>
        <vt:lpwstr>_Toc118719746</vt:lpwstr>
      </vt:variant>
      <vt:variant>
        <vt:i4>1835071</vt:i4>
      </vt:variant>
      <vt:variant>
        <vt:i4>164</vt:i4>
      </vt:variant>
      <vt:variant>
        <vt:i4>0</vt:i4>
      </vt:variant>
      <vt:variant>
        <vt:i4>5</vt:i4>
      </vt:variant>
      <vt:variant>
        <vt:lpwstr/>
      </vt:variant>
      <vt:variant>
        <vt:lpwstr>_Toc118719745</vt:lpwstr>
      </vt:variant>
      <vt:variant>
        <vt:i4>1835071</vt:i4>
      </vt:variant>
      <vt:variant>
        <vt:i4>161</vt:i4>
      </vt:variant>
      <vt:variant>
        <vt:i4>0</vt:i4>
      </vt:variant>
      <vt:variant>
        <vt:i4>5</vt:i4>
      </vt:variant>
      <vt:variant>
        <vt:lpwstr/>
      </vt:variant>
      <vt:variant>
        <vt:lpwstr>_Toc118719744</vt:lpwstr>
      </vt:variant>
      <vt:variant>
        <vt:i4>1835071</vt:i4>
      </vt:variant>
      <vt:variant>
        <vt:i4>158</vt:i4>
      </vt:variant>
      <vt:variant>
        <vt:i4>0</vt:i4>
      </vt:variant>
      <vt:variant>
        <vt:i4>5</vt:i4>
      </vt:variant>
      <vt:variant>
        <vt:lpwstr/>
      </vt:variant>
      <vt:variant>
        <vt:lpwstr>_Toc118719743</vt:lpwstr>
      </vt:variant>
      <vt:variant>
        <vt:i4>1835071</vt:i4>
      </vt:variant>
      <vt:variant>
        <vt:i4>155</vt:i4>
      </vt:variant>
      <vt:variant>
        <vt:i4>0</vt:i4>
      </vt:variant>
      <vt:variant>
        <vt:i4>5</vt:i4>
      </vt:variant>
      <vt:variant>
        <vt:lpwstr/>
      </vt:variant>
      <vt:variant>
        <vt:lpwstr>_Toc118719742</vt:lpwstr>
      </vt:variant>
      <vt:variant>
        <vt:i4>1835071</vt:i4>
      </vt:variant>
      <vt:variant>
        <vt:i4>152</vt:i4>
      </vt:variant>
      <vt:variant>
        <vt:i4>0</vt:i4>
      </vt:variant>
      <vt:variant>
        <vt:i4>5</vt:i4>
      </vt:variant>
      <vt:variant>
        <vt:lpwstr/>
      </vt:variant>
      <vt:variant>
        <vt:lpwstr>_Toc118719741</vt:lpwstr>
      </vt:variant>
      <vt:variant>
        <vt:i4>1835071</vt:i4>
      </vt:variant>
      <vt:variant>
        <vt:i4>149</vt:i4>
      </vt:variant>
      <vt:variant>
        <vt:i4>0</vt:i4>
      </vt:variant>
      <vt:variant>
        <vt:i4>5</vt:i4>
      </vt:variant>
      <vt:variant>
        <vt:lpwstr/>
      </vt:variant>
      <vt:variant>
        <vt:lpwstr>_Toc118719740</vt:lpwstr>
      </vt:variant>
      <vt:variant>
        <vt:i4>1769535</vt:i4>
      </vt:variant>
      <vt:variant>
        <vt:i4>146</vt:i4>
      </vt:variant>
      <vt:variant>
        <vt:i4>0</vt:i4>
      </vt:variant>
      <vt:variant>
        <vt:i4>5</vt:i4>
      </vt:variant>
      <vt:variant>
        <vt:lpwstr/>
      </vt:variant>
      <vt:variant>
        <vt:lpwstr>_Toc118719739</vt:lpwstr>
      </vt:variant>
      <vt:variant>
        <vt:i4>1769535</vt:i4>
      </vt:variant>
      <vt:variant>
        <vt:i4>143</vt:i4>
      </vt:variant>
      <vt:variant>
        <vt:i4>0</vt:i4>
      </vt:variant>
      <vt:variant>
        <vt:i4>5</vt:i4>
      </vt:variant>
      <vt:variant>
        <vt:lpwstr/>
      </vt:variant>
      <vt:variant>
        <vt:lpwstr>_Toc118719738</vt:lpwstr>
      </vt:variant>
      <vt:variant>
        <vt:i4>1769535</vt:i4>
      </vt:variant>
      <vt:variant>
        <vt:i4>140</vt:i4>
      </vt:variant>
      <vt:variant>
        <vt:i4>0</vt:i4>
      </vt:variant>
      <vt:variant>
        <vt:i4>5</vt:i4>
      </vt:variant>
      <vt:variant>
        <vt:lpwstr/>
      </vt:variant>
      <vt:variant>
        <vt:lpwstr>_Toc118719737</vt:lpwstr>
      </vt:variant>
      <vt:variant>
        <vt:i4>1769535</vt:i4>
      </vt:variant>
      <vt:variant>
        <vt:i4>137</vt:i4>
      </vt:variant>
      <vt:variant>
        <vt:i4>0</vt:i4>
      </vt:variant>
      <vt:variant>
        <vt:i4>5</vt:i4>
      </vt:variant>
      <vt:variant>
        <vt:lpwstr/>
      </vt:variant>
      <vt:variant>
        <vt:lpwstr>_Toc118719736</vt:lpwstr>
      </vt:variant>
      <vt:variant>
        <vt:i4>1769535</vt:i4>
      </vt:variant>
      <vt:variant>
        <vt:i4>134</vt:i4>
      </vt:variant>
      <vt:variant>
        <vt:i4>0</vt:i4>
      </vt:variant>
      <vt:variant>
        <vt:i4>5</vt:i4>
      </vt:variant>
      <vt:variant>
        <vt:lpwstr/>
      </vt:variant>
      <vt:variant>
        <vt:lpwstr>_Toc118719735</vt:lpwstr>
      </vt:variant>
      <vt:variant>
        <vt:i4>1769535</vt:i4>
      </vt:variant>
      <vt:variant>
        <vt:i4>131</vt:i4>
      </vt:variant>
      <vt:variant>
        <vt:i4>0</vt:i4>
      </vt:variant>
      <vt:variant>
        <vt:i4>5</vt:i4>
      </vt:variant>
      <vt:variant>
        <vt:lpwstr/>
      </vt:variant>
      <vt:variant>
        <vt:lpwstr>_Toc118719734</vt:lpwstr>
      </vt:variant>
      <vt:variant>
        <vt:i4>1769535</vt:i4>
      </vt:variant>
      <vt:variant>
        <vt:i4>128</vt:i4>
      </vt:variant>
      <vt:variant>
        <vt:i4>0</vt:i4>
      </vt:variant>
      <vt:variant>
        <vt:i4>5</vt:i4>
      </vt:variant>
      <vt:variant>
        <vt:lpwstr/>
      </vt:variant>
      <vt:variant>
        <vt:lpwstr>_Toc118719733</vt:lpwstr>
      </vt:variant>
      <vt:variant>
        <vt:i4>1769535</vt:i4>
      </vt:variant>
      <vt:variant>
        <vt:i4>125</vt:i4>
      </vt:variant>
      <vt:variant>
        <vt:i4>0</vt:i4>
      </vt:variant>
      <vt:variant>
        <vt:i4>5</vt:i4>
      </vt:variant>
      <vt:variant>
        <vt:lpwstr/>
      </vt:variant>
      <vt:variant>
        <vt:lpwstr>_Toc118719732</vt:lpwstr>
      </vt:variant>
      <vt:variant>
        <vt:i4>1769535</vt:i4>
      </vt:variant>
      <vt:variant>
        <vt:i4>122</vt:i4>
      </vt:variant>
      <vt:variant>
        <vt:i4>0</vt:i4>
      </vt:variant>
      <vt:variant>
        <vt:i4>5</vt:i4>
      </vt:variant>
      <vt:variant>
        <vt:lpwstr/>
      </vt:variant>
      <vt:variant>
        <vt:lpwstr>_Toc118719731</vt:lpwstr>
      </vt:variant>
      <vt:variant>
        <vt:i4>1769535</vt:i4>
      </vt:variant>
      <vt:variant>
        <vt:i4>119</vt:i4>
      </vt:variant>
      <vt:variant>
        <vt:i4>0</vt:i4>
      </vt:variant>
      <vt:variant>
        <vt:i4>5</vt:i4>
      </vt:variant>
      <vt:variant>
        <vt:lpwstr/>
      </vt:variant>
      <vt:variant>
        <vt:lpwstr>_Toc118719730</vt:lpwstr>
      </vt:variant>
      <vt:variant>
        <vt:i4>1703999</vt:i4>
      </vt:variant>
      <vt:variant>
        <vt:i4>116</vt:i4>
      </vt:variant>
      <vt:variant>
        <vt:i4>0</vt:i4>
      </vt:variant>
      <vt:variant>
        <vt:i4>5</vt:i4>
      </vt:variant>
      <vt:variant>
        <vt:lpwstr/>
      </vt:variant>
      <vt:variant>
        <vt:lpwstr>_Toc118719729</vt:lpwstr>
      </vt:variant>
      <vt:variant>
        <vt:i4>1703999</vt:i4>
      </vt:variant>
      <vt:variant>
        <vt:i4>113</vt:i4>
      </vt:variant>
      <vt:variant>
        <vt:i4>0</vt:i4>
      </vt:variant>
      <vt:variant>
        <vt:i4>5</vt:i4>
      </vt:variant>
      <vt:variant>
        <vt:lpwstr/>
      </vt:variant>
      <vt:variant>
        <vt:lpwstr>_Toc118719728</vt:lpwstr>
      </vt:variant>
      <vt:variant>
        <vt:i4>1703999</vt:i4>
      </vt:variant>
      <vt:variant>
        <vt:i4>110</vt:i4>
      </vt:variant>
      <vt:variant>
        <vt:i4>0</vt:i4>
      </vt:variant>
      <vt:variant>
        <vt:i4>5</vt:i4>
      </vt:variant>
      <vt:variant>
        <vt:lpwstr/>
      </vt:variant>
      <vt:variant>
        <vt:lpwstr>_Toc118719727</vt:lpwstr>
      </vt:variant>
      <vt:variant>
        <vt:i4>1703999</vt:i4>
      </vt:variant>
      <vt:variant>
        <vt:i4>107</vt:i4>
      </vt:variant>
      <vt:variant>
        <vt:i4>0</vt:i4>
      </vt:variant>
      <vt:variant>
        <vt:i4>5</vt:i4>
      </vt:variant>
      <vt:variant>
        <vt:lpwstr/>
      </vt:variant>
      <vt:variant>
        <vt:lpwstr>_Toc118719726</vt:lpwstr>
      </vt:variant>
      <vt:variant>
        <vt:i4>1703999</vt:i4>
      </vt:variant>
      <vt:variant>
        <vt:i4>104</vt:i4>
      </vt:variant>
      <vt:variant>
        <vt:i4>0</vt:i4>
      </vt:variant>
      <vt:variant>
        <vt:i4>5</vt:i4>
      </vt:variant>
      <vt:variant>
        <vt:lpwstr/>
      </vt:variant>
      <vt:variant>
        <vt:lpwstr>_Toc118719725</vt:lpwstr>
      </vt:variant>
      <vt:variant>
        <vt:i4>1703999</vt:i4>
      </vt:variant>
      <vt:variant>
        <vt:i4>101</vt:i4>
      </vt:variant>
      <vt:variant>
        <vt:i4>0</vt:i4>
      </vt:variant>
      <vt:variant>
        <vt:i4>5</vt:i4>
      </vt:variant>
      <vt:variant>
        <vt:lpwstr/>
      </vt:variant>
      <vt:variant>
        <vt:lpwstr>_Toc118719724</vt:lpwstr>
      </vt:variant>
      <vt:variant>
        <vt:i4>1703999</vt:i4>
      </vt:variant>
      <vt:variant>
        <vt:i4>98</vt:i4>
      </vt:variant>
      <vt:variant>
        <vt:i4>0</vt:i4>
      </vt:variant>
      <vt:variant>
        <vt:i4>5</vt:i4>
      </vt:variant>
      <vt:variant>
        <vt:lpwstr/>
      </vt:variant>
      <vt:variant>
        <vt:lpwstr>_Toc118719723</vt:lpwstr>
      </vt:variant>
      <vt:variant>
        <vt:i4>1703999</vt:i4>
      </vt:variant>
      <vt:variant>
        <vt:i4>95</vt:i4>
      </vt:variant>
      <vt:variant>
        <vt:i4>0</vt:i4>
      </vt:variant>
      <vt:variant>
        <vt:i4>5</vt:i4>
      </vt:variant>
      <vt:variant>
        <vt:lpwstr/>
      </vt:variant>
      <vt:variant>
        <vt:lpwstr>_Toc118719722</vt:lpwstr>
      </vt:variant>
      <vt:variant>
        <vt:i4>1703999</vt:i4>
      </vt:variant>
      <vt:variant>
        <vt:i4>92</vt:i4>
      </vt:variant>
      <vt:variant>
        <vt:i4>0</vt:i4>
      </vt:variant>
      <vt:variant>
        <vt:i4>5</vt:i4>
      </vt:variant>
      <vt:variant>
        <vt:lpwstr/>
      </vt:variant>
      <vt:variant>
        <vt:lpwstr>_Toc118719721</vt:lpwstr>
      </vt:variant>
      <vt:variant>
        <vt:i4>1703999</vt:i4>
      </vt:variant>
      <vt:variant>
        <vt:i4>89</vt:i4>
      </vt:variant>
      <vt:variant>
        <vt:i4>0</vt:i4>
      </vt:variant>
      <vt:variant>
        <vt:i4>5</vt:i4>
      </vt:variant>
      <vt:variant>
        <vt:lpwstr/>
      </vt:variant>
      <vt:variant>
        <vt:lpwstr>_Toc118719720</vt:lpwstr>
      </vt:variant>
      <vt:variant>
        <vt:i4>1638463</vt:i4>
      </vt:variant>
      <vt:variant>
        <vt:i4>86</vt:i4>
      </vt:variant>
      <vt:variant>
        <vt:i4>0</vt:i4>
      </vt:variant>
      <vt:variant>
        <vt:i4>5</vt:i4>
      </vt:variant>
      <vt:variant>
        <vt:lpwstr/>
      </vt:variant>
      <vt:variant>
        <vt:lpwstr>_Toc118719719</vt:lpwstr>
      </vt:variant>
      <vt:variant>
        <vt:i4>1638463</vt:i4>
      </vt:variant>
      <vt:variant>
        <vt:i4>83</vt:i4>
      </vt:variant>
      <vt:variant>
        <vt:i4>0</vt:i4>
      </vt:variant>
      <vt:variant>
        <vt:i4>5</vt:i4>
      </vt:variant>
      <vt:variant>
        <vt:lpwstr/>
      </vt:variant>
      <vt:variant>
        <vt:lpwstr>_Toc118719718</vt:lpwstr>
      </vt:variant>
      <vt:variant>
        <vt:i4>1638463</vt:i4>
      </vt:variant>
      <vt:variant>
        <vt:i4>80</vt:i4>
      </vt:variant>
      <vt:variant>
        <vt:i4>0</vt:i4>
      </vt:variant>
      <vt:variant>
        <vt:i4>5</vt:i4>
      </vt:variant>
      <vt:variant>
        <vt:lpwstr/>
      </vt:variant>
      <vt:variant>
        <vt:lpwstr>_Toc118719717</vt:lpwstr>
      </vt:variant>
      <vt:variant>
        <vt:i4>1638463</vt:i4>
      </vt:variant>
      <vt:variant>
        <vt:i4>77</vt:i4>
      </vt:variant>
      <vt:variant>
        <vt:i4>0</vt:i4>
      </vt:variant>
      <vt:variant>
        <vt:i4>5</vt:i4>
      </vt:variant>
      <vt:variant>
        <vt:lpwstr/>
      </vt:variant>
      <vt:variant>
        <vt:lpwstr>_Toc118719716</vt:lpwstr>
      </vt:variant>
      <vt:variant>
        <vt:i4>1114160</vt:i4>
      </vt:variant>
      <vt:variant>
        <vt:i4>71</vt:i4>
      </vt:variant>
      <vt:variant>
        <vt:i4>0</vt:i4>
      </vt:variant>
      <vt:variant>
        <vt:i4>5</vt:i4>
      </vt:variant>
      <vt:variant>
        <vt:lpwstr/>
      </vt:variant>
      <vt:variant>
        <vt:lpwstr>_Toc118718889</vt:lpwstr>
      </vt:variant>
      <vt:variant>
        <vt:i4>1114160</vt:i4>
      </vt:variant>
      <vt:variant>
        <vt:i4>68</vt:i4>
      </vt:variant>
      <vt:variant>
        <vt:i4>0</vt:i4>
      </vt:variant>
      <vt:variant>
        <vt:i4>5</vt:i4>
      </vt:variant>
      <vt:variant>
        <vt:lpwstr/>
      </vt:variant>
      <vt:variant>
        <vt:lpwstr>_Toc118718888</vt:lpwstr>
      </vt:variant>
      <vt:variant>
        <vt:i4>1114160</vt:i4>
      </vt:variant>
      <vt:variant>
        <vt:i4>65</vt:i4>
      </vt:variant>
      <vt:variant>
        <vt:i4>0</vt:i4>
      </vt:variant>
      <vt:variant>
        <vt:i4>5</vt:i4>
      </vt:variant>
      <vt:variant>
        <vt:lpwstr/>
      </vt:variant>
      <vt:variant>
        <vt:lpwstr>_Toc118718887</vt:lpwstr>
      </vt:variant>
      <vt:variant>
        <vt:i4>1114160</vt:i4>
      </vt:variant>
      <vt:variant>
        <vt:i4>62</vt:i4>
      </vt:variant>
      <vt:variant>
        <vt:i4>0</vt:i4>
      </vt:variant>
      <vt:variant>
        <vt:i4>5</vt:i4>
      </vt:variant>
      <vt:variant>
        <vt:lpwstr/>
      </vt:variant>
      <vt:variant>
        <vt:lpwstr>_Toc118718886</vt:lpwstr>
      </vt:variant>
      <vt:variant>
        <vt:i4>1114160</vt:i4>
      </vt:variant>
      <vt:variant>
        <vt:i4>59</vt:i4>
      </vt:variant>
      <vt:variant>
        <vt:i4>0</vt:i4>
      </vt:variant>
      <vt:variant>
        <vt:i4>5</vt:i4>
      </vt:variant>
      <vt:variant>
        <vt:lpwstr/>
      </vt:variant>
      <vt:variant>
        <vt:lpwstr>_Toc118718885</vt:lpwstr>
      </vt:variant>
      <vt:variant>
        <vt:i4>1114160</vt:i4>
      </vt:variant>
      <vt:variant>
        <vt:i4>56</vt:i4>
      </vt:variant>
      <vt:variant>
        <vt:i4>0</vt:i4>
      </vt:variant>
      <vt:variant>
        <vt:i4>5</vt:i4>
      </vt:variant>
      <vt:variant>
        <vt:lpwstr/>
      </vt:variant>
      <vt:variant>
        <vt:lpwstr>_Toc118718884</vt:lpwstr>
      </vt:variant>
      <vt:variant>
        <vt:i4>1114160</vt:i4>
      </vt:variant>
      <vt:variant>
        <vt:i4>53</vt:i4>
      </vt:variant>
      <vt:variant>
        <vt:i4>0</vt:i4>
      </vt:variant>
      <vt:variant>
        <vt:i4>5</vt:i4>
      </vt:variant>
      <vt:variant>
        <vt:lpwstr/>
      </vt:variant>
      <vt:variant>
        <vt:lpwstr>_Toc118718883</vt:lpwstr>
      </vt:variant>
      <vt:variant>
        <vt:i4>1114160</vt:i4>
      </vt:variant>
      <vt:variant>
        <vt:i4>50</vt:i4>
      </vt:variant>
      <vt:variant>
        <vt:i4>0</vt:i4>
      </vt:variant>
      <vt:variant>
        <vt:i4>5</vt:i4>
      </vt:variant>
      <vt:variant>
        <vt:lpwstr/>
      </vt:variant>
      <vt:variant>
        <vt:lpwstr>_Toc118718882</vt:lpwstr>
      </vt:variant>
      <vt:variant>
        <vt:i4>1114160</vt:i4>
      </vt:variant>
      <vt:variant>
        <vt:i4>47</vt:i4>
      </vt:variant>
      <vt:variant>
        <vt:i4>0</vt:i4>
      </vt:variant>
      <vt:variant>
        <vt:i4>5</vt:i4>
      </vt:variant>
      <vt:variant>
        <vt:lpwstr/>
      </vt:variant>
      <vt:variant>
        <vt:lpwstr>_Toc118718881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2022-11-07T14:32:00Z</dcterms:created>
  <dcterms:modified xsi:type="dcterms:W3CDTF">2022-11-07T14:32:00Z</dcterms:modified>
  <cp:category/>
</cp:coreProperties>
</file>